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52" w:rsidRPr="001209C7" w:rsidRDefault="00030F49" w:rsidP="00CA6352">
      <w:pPr>
        <w:jc w:val="center"/>
        <w:rPr>
          <w:b/>
          <w:sz w:val="28"/>
          <w:szCs w:val="28"/>
          <w:lang w:val="en-GB"/>
        </w:rPr>
      </w:pPr>
      <w:r>
        <w:rPr>
          <w:b/>
          <w:sz w:val="28"/>
          <w:szCs w:val="28"/>
          <w:lang w:val="en-GB"/>
        </w:rPr>
        <w:t>SPP EÚ a SR</w:t>
      </w:r>
    </w:p>
    <w:p w:rsidR="00F550AB" w:rsidRPr="001209C7" w:rsidRDefault="00F550AB" w:rsidP="00CA6352">
      <w:pPr>
        <w:jc w:val="center"/>
        <w:rPr>
          <w:b/>
          <w:szCs w:val="24"/>
          <w:lang w:val="en-GB"/>
        </w:rPr>
      </w:pPr>
    </w:p>
    <w:p w:rsidR="002C3FC6" w:rsidRPr="00AA5C2A" w:rsidRDefault="00030F49" w:rsidP="002C3FC6">
      <w:pPr>
        <w:jc w:val="center"/>
        <w:rPr>
          <w:b/>
          <w:szCs w:val="24"/>
          <w:lang w:val="sk-SK"/>
        </w:rPr>
      </w:pPr>
      <w:r>
        <w:rPr>
          <w:b/>
          <w:szCs w:val="24"/>
          <w:lang w:val="en-GB"/>
        </w:rPr>
        <w:t>Roman Serenčéš</w:t>
      </w:r>
      <w:r w:rsidR="002C3FC6" w:rsidRPr="001209C7">
        <w:rPr>
          <w:b/>
          <w:szCs w:val="24"/>
          <w:vertAlign w:val="superscript"/>
          <w:lang w:val="en-GB"/>
        </w:rPr>
        <w:t>1</w:t>
      </w:r>
      <w:r w:rsidR="002C3FC6" w:rsidRPr="001209C7">
        <w:rPr>
          <w:b/>
          <w:szCs w:val="24"/>
          <w:lang w:val="en-GB"/>
        </w:rPr>
        <w:t xml:space="preserve">, </w:t>
      </w:r>
      <w:r>
        <w:rPr>
          <w:b/>
          <w:szCs w:val="24"/>
          <w:lang w:val="en-GB"/>
        </w:rPr>
        <w:t>Ivan Mučaji</w:t>
      </w:r>
      <w:r w:rsidR="002C3FC6" w:rsidRPr="001209C7">
        <w:rPr>
          <w:b/>
          <w:szCs w:val="24"/>
          <w:vertAlign w:val="superscript"/>
          <w:lang w:val="en-GB"/>
        </w:rPr>
        <w:t>2</w:t>
      </w:r>
      <w:r w:rsidR="002C3FC6" w:rsidRPr="001209C7">
        <w:rPr>
          <w:b/>
          <w:szCs w:val="24"/>
          <w:lang w:val="en-GB"/>
        </w:rPr>
        <w:t xml:space="preserve"> </w:t>
      </w:r>
    </w:p>
    <w:p w:rsidR="002C3FC6" w:rsidRPr="001209C7" w:rsidRDefault="00030F49" w:rsidP="002C3FC6">
      <w:pPr>
        <w:jc w:val="center"/>
        <w:rPr>
          <w:sz w:val="22"/>
          <w:lang w:val="en-GB"/>
        </w:rPr>
      </w:pPr>
      <w:r w:rsidRPr="00AA5C2A">
        <w:rPr>
          <w:sz w:val="22"/>
          <w:lang w:val="sk-SK"/>
        </w:rPr>
        <w:t>Slovenská poľnohospodárska univerzita</w:t>
      </w:r>
      <w:r>
        <w:rPr>
          <w:sz w:val="22"/>
          <w:lang w:val="en-GB"/>
        </w:rPr>
        <w:t xml:space="preserve"> v Nitre</w:t>
      </w:r>
      <w:r w:rsidR="00534443" w:rsidRPr="001209C7">
        <w:rPr>
          <w:sz w:val="22"/>
          <w:vertAlign w:val="superscript"/>
          <w:lang w:val="en-GB"/>
        </w:rPr>
        <w:t>1, 2</w:t>
      </w:r>
    </w:p>
    <w:p w:rsidR="002C3FC6" w:rsidRPr="001209C7" w:rsidRDefault="00030F49" w:rsidP="002C3FC6">
      <w:pPr>
        <w:jc w:val="center"/>
        <w:rPr>
          <w:sz w:val="22"/>
          <w:lang w:val="en-GB"/>
        </w:rPr>
      </w:pPr>
      <w:r>
        <w:rPr>
          <w:sz w:val="22"/>
          <w:lang w:val="en-GB"/>
        </w:rPr>
        <w:t>Fakulta ekonomiky a manažmentu, Katedra ekonomiky</w:t>
      </w:r>
    </w:p>
    <w:p w:rsidR="002C3FC6" w:rsidRPr="001209C7" w:rsidRDefault="00030F49" w:rsidP="002C3FC6">
      <w:pPr>
        <w:jc w:val="center"/>
        <w:rPr>
          <w:sz w:val="22"/>
          <w:lang w:val="en-GB"/>
        </w:rPr>
      </w:pPr>
      <w:r>
        <w:rPr>
          <w:sz w:val="22"/>
          <w:lang w:val="en-GB"/>
        </w:rPr>
        <w:t>Trieda A. Hlinku 2</w:t>
      </w:r>
    </w:p>
    <w:p w:rsidR="002C3FC6" w:rsidRPr="001209C7" w:rsidRDefault="00A85172" w:rsidP="002C3FC6">
      <w:pPr>
        <w:jc w:val="center"/>
        <w:rPr>
          <w:sz w:val="22"/>
          <w:lang w:val="en-GB"/>
        </w:rPr>
      </w:pPr>
      <w:r>
        <w:rPr>
          <w:sz w:val="22"/>
          <w:lang w:val="en-GB"/>
        </w:rPr>
        <w:t>949 76 Nitra, Slovenská republika</w:t>
      </w:r>
    </w:p>
    <w:p w:rsidR="002C3FC6" w:rsidRPr="001209C7" w:rsidRDefault="002C3FC6" w:rsidP="002C3FC6">
      <w:pPr>
        <w:jc w:val="center"/>
        <w:rPr>
          <w:sz w:val="22"/>
          <w:lang w:val="en-GB"/>
        </w:rPr>
      </w:pPr>
      <w:r w:rsidRPr="001209C7">
        <w:rPr>
          <w:sz w:val="22"/>
          <w:lang w:val="en-GB"/>
        </w:rPr>
        <w:t>e-mail</w:t>
      </w:r>
      <w:r w:rsidR="002E3A7B">
        <w:rPr>
          <w:sz w:val="22"/>
          <w:vertAlign w:val="superscript"/>
          <w:lang w:val="en-GB"/>
        </w:rPr>
        <w:t>1</w:t>
      </w:r>
      <w:r w:rsidR="005719D9">
        <w:rPr>
          <w:sz w:val="22"/>
          <w:lang w:val="en-GB"/>
        </w:rPr>
        <w:t xml:space="preserve">: </w:t>
      </w:r>
      <w:r w:rsidR="00030F49">
        <w:rPr>
          <w:sz w:val="22"/>
          <w:lang w:val="en-GB"/>
        </w:rPr>
        <w:t>roman.serences@uniag.sk</w:t>
      </w:r>
      <w:r w:rsidRPr="001209C7">
        <w:rPr>
          <w:sz w:val="22"/>
          <w:lang w:val="en-GB"/>
        </w:rPr>
        <w:t xml:space="preserve"> </w:t>
      </w:r>
    </w:p>
    <w:p w:rsidR="00F550AB" w:rsidRPr="001209C7" w:rsidRDefault="00F550AB" w:rsidP="00F550AB">
      <w:pPr>
        <w:rPr>
          <w:sz w:val="22"/>
          <w:lang w:val="en-GB"/>
        </w:rPr>
      </w:pPr>
    </w:p>
    <w:p w:rsidR="00F550AB" w:rsidRPr="00AA5C2A" w:rsidRDefault="00F550AB" w:rsidP="00F550AB">
      <w:pPr>
        <w:rPr>
          <w:i/>
          <w:sz w:val="22"/>
          <w:szCs w:val="20"/>
          <w:lang w:val="sk-SK"/>
        </w:rPr>
      </w:pPr>
      <w:r w:rsidRPr="00C3302B">
        <w:rPr>
          <w:b/>
          <w:i/>
          <w:sz w:val="22"/>
          <w:szCs w:val="20"/>
          <w:lang w:val="en-GB"/>
        </w:rPr>
        <w:t>Abstra</w:t>
      </w:r>
      <w:r w:rsidR="005719D9">
        <w:rPr>
          <w:b/>
          <w:i/>
          <w:sz w:val="22"/>
          <w:szCs w:val="20"/>
          <w:lang w:val="en-GB"/>
        </w:rPr>
        <w:t>kt</w:t>
      </w:r>
    </w:p>
    <w:p w:rsidR="00C66B94" w:rsidRDefault="004B471D" w:rsidP="00BF1094">
      <w:pPr>
        <w:rPr>
          <w:i/>
          <w:sz w:val="22"/>
          <w:szCs w:val="20"/>
          <w:lang w:val="en-GB"/>
        </w:rPr>
      </w:pPr>
      <w:r w:rsidRPr="00AA5C2A">
        <w:rPr>
          <w:i/>
          <w:sz w:val="22"/>
          <w:szCs w:val="20"/>
          <w:lang w:val="sk-SK"/>
        </w:rPr>
        <w:t>Článok sa zaoberá</w:t>
      </w:r>
      <w:r>
        <w:rPr>
          <w:i/>
          <w:sz w:val="22"/>
          <w:szCs w:val="20"/>
          <w:lang w:val="en-GB"/>
        </w:rPr>
        <w:t xml:space="preserve"> pôsobením spoločnej poľnohospodárskej politiky na slovenský agrosektor prostredníctvom ukazovateľov ako využitie pôdy, produkcia RV a ŽV, počet zamestnancov a čerpanie podpôr. </w:t>
      </w:r>
      <w:r w:rsidR="009336F8">
        <w:rPr>
          <w:i/>
          <w:sz w:val="22"/>
          <w:szCs w:val="20"/>
          <w:lang w:val="en-GB"/>
        </w:rPr>
        <w:t>Aj na základe týchto ukazovateľov možme skonštatovať, že slovenský poľnohospodár na ornej pôde</w:t>
      </w:r>
      <w:r w:rsidR="00B53EA8">
        <w:rPr>
          <w:i/>
          <w:sz w:val="22"/>
          <w:szCs w:val="20"/>
          <w:lang w:val="en-GB"/>
        </w:rPr>
        <w:t xml:space="preserve"> pestuje plodiny, pri ktorých</w:t>
      </w:r>
      <w:r w:rsidR="009336F8">
        <w:rPr>
          <w:i/>
          <w:sz w:val="22"/>
          <w:szCs w:val="20"/>
          <w:lang w:val="en-GB"/>
        </w:rPr>
        <w:t xml:space="preserve"> celý výrobný proces zvládne pomocou mechanizácie bez väčšej potreby ľudskej práce</w:t>
      </w:r>
      <w:r w:rsidR="00B53EA8">
        <w:rPr>
          <w:i/>
          <w:sz w:val="22"/>
          <w:szCs w:val="20"/>
          <w:lang w:val="en-GB"/>
        </w:rPr>
        <w:t>. O</w:t>
      </w:r>
      <w:r w:rsidR="009336F8">
        <w:rPr>
          <w:i/>
          <w:sz w:val="22"/>
          <w:szCs w:val="20"/>
          <w:lang w:val="en-GB"/>
        </w:rPr>
        <w:t>r</w:t>
      </w:r>
      <w:r w:rsidR="00B53EA8">
        <w:rPr>
          <w:i/>
          <w:sz w:val="22"/>
          <w:szCs w:val="20"/>
          <w:lang w:val="en-GB"/>
        </w:rPr>
        <w:t>ientuje sa predovšetkým</w:t>
      </w:r>
      <w:r w:rsidR="009336F8">
        <w:rPr>
          <w:i/>
          <w:sz w:val="22"/>
          <w:szCs w:val="20"/>
          <w:lang w:val="en-GB"/>
        </w:rPr>
        <w:t xml:space="preserve"> </w:t>
      </w:r>
      <w:r w:rsidR="00B53EA8">
        <w:rPr>
          <w:i/>
          <w:sz w:val="22"/>
          <w:szCs w:val="20"/>
          <w:lang w:val="en-GB"/>
        </w:rPr>
        <w:t>na rastlinnú výrobu a likviduje živočíšnu</w:t>
      </w:r>
      <w:r w:rsidR="009336F8">
        <w:rPr>
          <w:i/>
          <w:sz w:val="22"/>
          <w:szCs w:val="20"/>
          <w:lang w:val="en-GB"/>
        </w:rPr>
        <w:t xml:space="preserve"> výroby. Na trvalých trávnych porastoch </w:t>
      </w:r>
      <w:r w:rsidR="00B53EA8">
        <w:rPr>
          <w:i/>
          <w:sz w:val="22"/>
          <w:szCs w:val="20"/>
          <w:lang w:val="en-GB"/>
        </w:rPr>
        <w:t>sa slovenský poľnohospodár orientuje na živočíšnu výrobu, aj vďaka podmienke zaťaženosti.</w:t>
      </w:r>
      <w:r w:rsidR="009336F8">
        <w:rPr>
          <w:i/>
          <w:sz w:val="22"/>
          <w:szCs w:val="20"/>
          <w:lang w:val="en-GB"/>
        </w:rPr>
        <w:t xml:space="preserve"> </w:t>
      </w:r>
      <w:r w:rsidR="001B2722">
        <w:rPr>
          <w:i/>
          <w:sz w:val="22"/>
          <w:szCs w:val="20"/>
          <w:lang w:val="en-GB"/>
        </w:rPr>
        <w:t>Zaťaženosť sa kontroluje v rámci krížového plnenia a jej porušenie sa prejavuje krátením podpôr.</w:t>
      </w:r>
    </w:p>
    <w:p w:rsidR="00F550AB" w:rsidRPr="001209C7" w:rsidRDefault="00F550AB" w:rsidP="00F550AB">
      <w:pPr>
        <w:rPr>
          <w:i/>
          <w:sz w:val="22"/>
          <w:lang w:val="en-GB"/>
        </w:rPr>
      </w:pPr>
    </w:p>
    <w:p w:rsidR="005719D9" w:rsidRPr="005719D9" w:rsidRDefault="00742723" w:rsidP="00742723">
      <w:pPr>
        <w:rPr>
          <w:i/>
          <w:sz w:val="22"/>
          <w:szCs w:val="20"/>
          <w:lang w:val="en-GB"/>
        </w:rPr>
      </w:pPr>
      <w:r w:rsidRPr="00C3302B">
        <w:rPr>
          <w:b/>
          <w:i/>
          <w:sz w:val="22"/>
          <w:szCs w:val="20"/>
          <w:lang w:val="en-GB"/>
        </w:rPr>
        <w:t>K</w:t>
      </w:r>
      <w:r w:rsidR="005719D9">
        <w:rPr>
          <w:b/>
          <w:i/>
          <w:sz w:val="22"/>
          <w:szCs w:val="20"/>
          <w:lang w:val="en-GB"/>
        </w:rPr>
        <w:t xml:space="preserve">ľúčové slová: </w:t>
      </w:r>
      <w:r w:rsidR="005C7326">
        <w:rPr>
          <w:i/>
          <w:sz w:val="22"/>
          <w:szCs w:val="20"/>
          <w:lang w:val="en-GB"/>
        </w:rPr>
        <w:t>pôda, poľnohospodárska politika, podpora, produkcia</w:t>
      </w:r>
    </w:p>
    <w:p w:rsidR="00742723" w:rsidRPr="001209C7" w:rsidRDefault="00742723" w:rsidP="00742723">
      <w:pPr>
        <w:rPr>
          <w:b/>
          <w:i/>
          <w:sz w:val="20"/>
          <w:szCs w:val="20"/>
          <w:lang w:val="en-GB"/>
        </w:rPr>
      </w:pPr>
    </w:p>
    <w:p w:rsidR="005719D9" w:rsidRPr="005719D9" w:rsidRDefault="00742723" w:rsidP="005719D9">
      <w:pPr>
        <w:rPr>
          <w:i/>
          <w:sz w:val="22"/>
          <w:szCs w:val="20"/>
          <w:lang w:val="en-GB"/>
        </w:rPr>
      </w:pPr>
      <w:r w:rsidRPr="00C3302B">
        <w:rPr>
          <w:b/>
          <w:i/>
          <w:sz w:val="22"/>
          <w:szCs w:val="20"/>
          <w:lang w:val="en-GB"/>
        </w:rPr>
        <w:t xml:space="preserve">JEL </w:t>
      </w:r>
      <w:r w:rsidR="005719D9">
        <w:rPr>
          <w:b/>
          <w:i/>
          <w:sz w:val="22"/>
          <w:szCs w:val="20"/>
          <w:lang w:val="en-GB"/>
        </w:rPr>
        <w:t>klasifikácia</w:t>
      </w:r>
      <w:r w:rsidRPr="00C3302B">
        <w:rPr>
          <w:b/>
          <w:i/>
          <w:sz w:val="22"/>
          <w:szCs w:val="20"/>
          <w:lang w:val="en-GB"/>
        </w:rPr>
        <w:t xml:space="preserve">: </w:t>
      </w:r>
      <w:r w:rsidR="002F52AC" w:rsidRPr="002F52AC">
        <w:rPr>
          <w:i/>
          <w:sz w:val="22"/>
          <w:szCs w:val="20"/>
          <w:lang w:val="en-GB"/>
        </w:rPr>
        <w:t>Q10</w:t>
      </w:r>
      <w:r w:rsidR="002F52AC">
        <w:rPr>
          <w:b/>
          <w:i/>
          <w:sz w:val="22"/>
          <w:szCs w:val="20"/>
          <w:lang w:val="en-GB"/>
        </w:rPr>
        <w:t xml:space="preserve">, </w:t>
      </w:r>
      <w:r w:rsidR="00626F1B" w:rsidRPr="00626F1B">
        <w:rPr>
          <w:i/>
          <w:sz w:val="22"/>
          <w:szCs w:val="20"/>
          <w:lang w:val="en-GB"/>
        </w:rPr>
        <w:t>Q15</w:t>
      </w:r>
      <w:r w:rsidR="00626F1B">
        <w:rPr>
          <w:b/>
          <w:i/>
          <w:sz w:val="22"/>
          <w:szCs w:val="20"/>
          <w:lang w:val="en-GB"/>
        </w:rPr>
        <w:t xml:space="preserve">, </w:t>
      </w:r>
      <w:r w:rsidR="00F96335">
        <w:rPr>
          <w:i/>
          <w:sz w:val="22"/>
          <w:szCs w:val="20"/>
          <w:lang w:val="en-GB"/>
        </w:rPr>
        <w:t>Q18,</w:t>
      </w:r>
      <w:r w:rsidR="00626F1B">
        <w:rPr>
          <w:i/>
          <w:sz w:val="22"/>
          <w:szCs w:val="20"/>
          <w:lang w:val="en-GB"/>
        </w:rPr>
        <w:t xml:space="preserve"> </w:t>
      </w:r>
      <w:r w:rsidR="00F96335">
        <w:rPr>
          <w:i/>
          <w:sz w:val="22"/>
          <w:szCs w:val="20"/>
          <w:lang w:val="en-GB"/>
        </w:rPr>
        <w:t xml:space="preserve"> </w:t>
      </w:r>
    </w:p>
    <w:p w:rsidR="001B4467" w:rsidRDefault="005719D9">
      <w:pPr>
        <w:rPr>
          <w:i/>
          <w:sz w:val="22"/>
          <w:szCs w:val="20"/>
          <w:lang w:val="en-GB"/>
        </w:rPr>
      </w:pPr>
      <w:r>
        <w:rPr>
          <w:i/>
          <w:sz w:val="22"/>
          <w:szCs w:val="20"/>
          <w:lang w:val="en-GB"/>
        </w:rPr>
        <w:t xml:space="preserve"> </w:t>
      </w:r>
    </w:p>
    <w:p w:rsidR="005719D9" w:rsidRPr="005719D9" w:rsidRDefault="005719D9">
      <w:pPr>
        <w:rPr>
          <w:i/>
          <w:sz w:val="22"/>
          <w:szCs w:val="20"/>
          <w:lang w:val="en-GB"/>
        </w:rPr>
      </w:pPr>
    </w:p>
    <w:p w:rsidR="00531479" w:rsidRPr="00C3302B" w:rsidRDefault="00531479" w:rsidP="001720F9">
      <w:pPr>
        <w:pStyle w:val="Nadpis1"/>
        <w:rPr>
          <w:szCs w:val="24"/>
        </w:rPr>
      </w:pPr>
      <w:r w:rsidRPr="00C3302B">
        <w:rPr>
          <w:szCs w:val="24"/>
        </w:rPr>
        <w:t xml:space="preserve">1. </w:t>
      </w:r>
      <w:r w:rsidR="009F6121">
        <w:rPr>
          <w:szCs w:val="24"/>
        </w:rPr>
        <w:t>Úvod</w:t>
      </w:r>
    </w:p>
    <w:p w:rsidR="007D1002" w:rsidRDefault="009F6121" w:rsidP="009F6121">
      <w:pPr>
        <w:spacing w:after="120"/>
        <w:rPr>
          <w:szCs w:val="24"/>
          <w:lang w:val="sk-SK"/>
        </w:rPr>
      </w:pPr>
      <w:r w:rsidRPr="009F6121">
        <w:rPr>
          <w:szCs w:val="24"/>
          <w:lang w:val="sk-SK"/>
        </w:rPr>
        <w:t>Spoločná poľnohospodárska politika (SPP) Európskej únie (EÚ) sa volá „spoločná“, pretože hlavné rozhodnutia poľnohospodárskej politiky sa robia na úrovni EÚ, a tieto sú z väčšej časti financované zo spoločného e</w:t>
      </w:r>
      <w:r>
        <w:rPr>
          <w:szCs w:val="24"/>
          <w:lang w:val="sk-SK"/>
        </w:rPr>
        <w:t xml:space="preserve">urópskeho rozpočtu. </w:t>
      </w:r>
      <w:r w:rsidRPr="009F6121">
        <w:rPr>
          <w:szCs w:val="24"/>
          <w:lang w:val="sk-SK"/>
        </w:rPr>
        <w:t>Európsky poľnohospodársky sektor je síce integrovaný politicky, ale je menej integrovan</w:t>
      </w:r>
      <w:r w:rsidR="004B1F88">
        <w:rPr>
          <w:szCs w:val="24"/>
          <w:lang w:val="sk-SK"/>
        </w:rPr>
        <w:t>ý ekonomicky</w:t>
      </w:r>
      <w:r w:rsidRPr="009F6121">
        <w:rPr>
          <w:szCs w:val="24"/>
          <w:lang w:val="sk-SK"/>
        </w:rPr>
        <w:t>.</w:t>
      </w:r>
    </w:p>
    <w:p w:rsidR="007D1002" w:rsidRPr="007D1002" w:rsidRDefault="007D1002" w:rsidP="007D1002">
      <w:pPr>
        <w:spacing w:after="120"/>
        <w:rPr>
          <w:szCs w:val="24"/>
          <w:lang w:val="sk-SK"/>
        </w:rPr>
      </w:pPr>
      <w:r w:rsidRPr="007D1002">
        <w:rPr>
          <w:szCs w:val="24"/>
          <w:lang w:val="sk-SK"/>
        </w:rPr>
        <w:t xml:space="preserve">Hlavným argumentom pre jej zavedenie a kontinuálnu podporu </w:t>
      </w:r>
      <w:r>
        <w:rPr>
          <w:szCs w:val="24"/>
          <w:lang w:val="sk-SK"/>
        </w:rPr>
        <w:t>je potravinová bezpečnosť. Závislosť na dovozoch</w:t>
      </w:r>
      <w:r w:rsidRPr="007D1002">
        <w:rPr>
          <w:szCs w:val="24"/>
          <w:lang w:val="sk-SK"/>
        </w:rPr>
        <w:t xml:space="preserve"> </w:t>
      </w:r>
      <w:r>
        <w:rPr>
          <w:szCs w:val="24"/>
          <w:lang w:val="sk-SK"/>
        </w:rPr>
        <w:t>agro</w:t>
      </w:r>
      <w:r w:rsidRPr="007D1002">
        <w:rPr>
          <w:szCs w:val="24"/>
          <w:lang w:val="sk-SK"/>
        </w:rPr>
        <w:t>potraví</w:t>
      </w:r>
      <w:r>
        <w:rPr>
          <w:szCs w:val="24"/>
          <w:lang w:val="sk-SK"/>
        </w:rPr>
        <w:t xml:space="preserve">n by mohla </w:t>
      </w:r>
      <w:r w:rsidRPr="007D1002">
        <w:rPr>
          <w:szCs w:val="24"/>
          <w:lang w:val="sk-SK"/>
        </w:rPr>
        <w:t xml:space="preserve">ohroziť uspokojenie základných potrieb obyvateľov členských krajín. </w:t>
      </w:r>
      <w:r>
        <w:rPr>
          <w:szCs w:val="24"/>
          <w:lang w:val="sk-SK"/>
        </w:rPr>
        <w:t>Ďalším argumentom sú investície</w:t>
      </w:r>
      <w:r w:rsidRPr="007D1002">
        <w:rPr>
          <w:szCs w:val="24"/>
          <w:lang w:val="sk-SK"/>
        </w:rPr>
        <w:t xml:space="preserve"> do zvýšenia produktivity, </w:t>
      </w:r>
      <w:r>
        <w:rPr>
          <w:szCs w:val="24"/>
          <w:lang w:val="sk-SK"/>
        </w:rPr>
        <w:t xml:space="preserve">kvality agropotravín a ich pestrosti, </w:t>
      </w:r>
      <w:r w:rsidRPr="007D1002">
        <w:rPr>
          <w:szCs w:val="24"/>
          <w:lang w:val="sk-SK"/>
        </w:rPr>
        <w:t>ochrany životného prostredia</w:t>
      </w:r>
      <w:r>
        <w:rPr>
          <w:szCs w:val="24"/>
          <w:lang w:val="sk-SK"/>
        </w:rPr>
        <w:t xml:space="preserve"> </w:t>
      </w:r>
      <w:r w:rsidRPr="007D1002">
        <w:rPr>
          <w:szCs w:val="24"/>
          <w:lang w:val="sk-SK"/>
        </w:rPr>
        <w:t>a rozvoj</w:t>
      </w:r>
      <w:r>
        <w:rPr>
          <w:szCs w:val="24"/>
          <w:lang w:val="sk-SK"/>
        </w:rPr>
        <w:t>a</w:t>
      </w:r>
      <w:r w:rsidRPr="007D1002">
        <w:rPr>
          <w:szCs w:val="24"/>
          <w:lang w:val="sk-SK"/>
        </w:rPr>
        <w:t xml:space="preserve"> vidieka. Zamestnanosť v</w:t>
      </w:r>
      <w:r>
        <w:rPr>
          <w:szCs w:val="24"/>
          <w:lang w:val="sk-SK"/>
        </w:rPr>
        <w:t> sektore</w:t>
      </w:r>
      <w:r w:rsidRPr="007D1002">
        <w:rPr>
          <w:szCs w:val="24"/>
          <w:lang w:val="sk-SK"/>
        </w:rPr>
        <w:t xml:space="preserve"> v priebehu posledných desiatich rokov</w:t>
      </w:r>
      <w:r>
        <w:rPr>
          <w:szCs w:val="24"/>
          <w:lang w:val="sk-SK"/>
        </w:rPr>
        <w:t xml:space="preserve"> poklesla o 25 % a </w:t>
      </w:r>
      <w:r w:rsidRPr="007D1002">
        <w:rPr>
          <w:szCs w:val="24"/>
          <w:lang w:val="sk-SK"/>
        </w:rPr>
        <w:t>počet farmárov</w:t>
      </w:r>
      <w:r>
        <w:rPr>
          <w:szCs w:val="24"/>
          <w:lang w:val="sk-SK"/>
        </w:rPr>
        <w:t xml:space="preserve"> klesne ročne</w:t>
      </w:r>
      <w:r w:rsidRPr="007D1002">
        <w:rPr>
          <w:szCs w:val="24"/>
          <w:lang w:val="sk-SK"/>
        </w:rPr>
        <w:t xml:space="preserve"> o 2 %. SPP </w:t>
      </w:r>
      <w:r>
        <w:rPr>
          <w:szCs w:val="24"/>
          <w:lang w:val="sk-SK"/>
        </w:rPr>
        <w:t>sa orientuje na podporu vidieka a vidieckeho</w:t>
      </w:r>
      <w:r w:rsidRPr="007D1002">
        <w:rPr>
          <w:szCs w:val="24"/>
          <w:lang w:val="sk-SK"/>
        </w:rPr>
        <w:t xml:space="preserve"> štýl</w:t>
      </w:r>
      <w:r>
        <w:rPr>
          <w:szCs w:val="24"/>
          <w:lang w:val="sk-SK"/>
        </w:rPr>
        <w:t xml:space="preserve">u a na </w:t>
      </w:r>
      <w:r w:rsidRPr="007D1002">
        <w:rPr>
          <w:szCs w:val="24"/>
          <w:lang w:val="sk-SK"/>
        </w:rPr>
        <w:t>p</w:t>
      </w:r>
      <w:r>
        <w:rPr>
          <w:szCs w:val="24"/>
          <w:lang w:val="sk-SK"/>
        </w:rPr>
        <w:t>odpor</w:t>
      </w:r>
      <w:r w:rsidRPr="007D1002">
        <w:rPr>
          <w:szCs w:val="24"/>
          <w:lang w:val="sk-SK"/>
        </w:rPr>
        <w:t>u začínajúcich</w:t>
      </w:r>
      <w:r w:rsidR="00174258">
        <w:rPr>
          <w:szCs w:val="24"/>
          <w:lang w:val="sk-SK"/>
        </w:rPr>
        <w:t>, mladých a malých</w:t>
      </w:r>
      <w:r w:rsidRPr="007D1002">
        <w:rPr>
          <w:szCs w:val="24"/>
          <w:lang w:val="sk-SK"/>
        </w:rPr>
        <w:t xml:space="preserve"> farmárov.</w:t>
      </w:r>
    </w:p>
    <w:p w:rsidR="007D1002" w:rsidRPr="007D1002" w:rsidRDefault="00EF1439" w:rsidP="007D1002">
      <w:pPr>
        <w:spacing w:after="120"/>
        <w:rPr>
          <w:szCs w:val="24"/>
          <w:lang w:val="sk-SK"/>
        </w:rPr>
      </w:pPr>
      <w:r>
        <w:rPr>
          <w:szCs w:val="24"/>
          <w:lang w:val="sk-SK"/>
        </w:rPr>
        <w:t xml:space="preserve">Na druhej strane, </w:t>
      </w:r>
      <w:r w:rsidR="007D1002" w:rsidRPr="007D1002">
        <w:rPr>
          <w:szCs w:val="24"/>
          <w:lang w:val="sk-SK"/>
        </w:rPr>
        <w:t>farmári tvoria len 5,4 % populácie EÚ a generujú iba</w:t>
      </w:r>
      <w:r>
        <w:rPr>
          <w:szCs w:val="24"/>
          <w:lang w:val="sk-SK"/>
        </w:rPr>
        <w:t xml:space="preserve"> 1,6 % HDP EÚ, ale </w:t>
      </w:r>
      <w:r w:rsidR="007D1002" w:rsidRPr="007D1002">
        <w:rPr>
          <w:szCs w:val="24"/>
          <w:lang w:val="sk-SK"/>
        </w:rPr>
        <w:t>inkasujú takmer 50 % rozpočtu EÚ vo forme príspevkov SPP. Európski daňoví poplatníci</w:t>
      </w:r>
      <w:r>
        <w:rPr>
          <w:szCs w:val="24"/>
          <w:lang w:val="sk-SK"/>
        </w:rPr>
        <w:t xml:space="preserve"> a spotrebitelia</w:t>
      </w:r>
      <w:r w:rsidR="007D1002" w:rsidRPr="007D1002">
        <w:rPr>
          <w:szCs w:val="24"/>
          <w:lang w:val="sk-SK"/>
        </w:rPr>
        <w:t xml:space="preserve"> dávajú ročne viac ako 58 miliárd</w:t>
      </w:r>
      <w:r>
        <w:rPr>
          <w:szCs w:val="24"/>
          <w:lang w:val="sk-SK"/>
        </w:rPr>
        <w:t xml:space="preserve"> Eur stále sa zmenšujúcej skupine poľnohospodárov</w:t>
      </w:r>
      <w:r w:rsidR="007D1002" w:rsidRPr="007D1002">
        <w:rPr>
          <w:szCs w:val="24"/>
          <w:lang w:val="sk-SK"/>
        </w:rPr>
        <w:t>.</w:t>
      </w:r>
      <w:r w:rsidR="00E64847">
        <w:rPr>
          <w:szCs w:val="24"/>
          <w:lang w:val="sk-SK"/>
        </w:rPr>
        <w:t xml:space="preserve"> Zatiaľ aj podpora malých poľnohospodárov je len vo forme sľubov, pretože p</w:t>
      </w:r>
      <w:r w:rsidR="007D1002" w:rsidRPr="007D1002">
        <w:rPr>
          <w:szCs w:val="24"/>
          <w:lang w:val="sk-SK"/>
        </w:rPr>
        <w:t xml:space="preserve">ribližne 80 % všetkých príspevkov SPP totiž putuje len k 25 </w:t>
      </w:r>
      <w:r w:rsidR="00633866">
        <w:rPr>
          <w:szCs w:val="24"/>
          <w:lang w:val="sk-SK"/>
        </w:rPr>
        <w:t>% najväčších</w:t>
      </w:r>
      <w:r w:rsidR="00E64847">
        <w:rPr>
          <w:szCs w:val="24"/>
          <w:lang w:val="sk-SK"/>
        </w:rPr>
        <w:t xml:space="preserve"> poľnohospodárov</w:t>
      </w:r>
      <w:r w:rsidR="00633866">
        <w:rPr>
          <w:szCs w:val="24"/>
          <w:lang w:val="sk-SK"/>
        </w:rPr>
        <w:t xml:space="preserve"> (nie len z pohľadu výmery pôdy, ale aj majetku, príjmu,...).</w:t>
      </w:r>
      <w:r w:rsidR="007D1002" w:rsidRPr="007D1002">
        <w:rPr>
          <w:szCs w:val="24"/>
          <w:lang w:val="sk-SK"/>
        </w:rPr>
        <w:t xml:space="preserve"> </w:t>
      </w:r>
    </w:p>
    <w:p w:rsidR="00531479" w:rsidRPr="0017553D" w:rsidRDefault="009F6121" w:rsidP="0017553D">
      <w:pPr>
        <w:spacing w:after="120"/>
        <w:rPr>
          <w:szCs w:val="24"/>
          <w:lang w:val="sk-SK"/>
        </w:rPr>
      </w:pPr>
      <w:r w:rsidRPr="009F6121">
        <w:rPr>
          <w:szCs w:val="24"/>
          <w:lang w:val="sk-SK"/>
        </w:rPr>
        <w:t xml:space="preserve"> </w:t>
      </w:r>
    </w:p>
    <w:p w:rsidR="00891469" w:rsidRPr="00C3302B" w:rsidRDefault="00D6150C" w:rsidP="001720F9">
      <w:pPr>
        <w:pStyle w:val="Nadpis1"/>
        <w:rPr>
          <w:szCs w:val="24"/>
        </w:rPr>
      </w:pPr>
      <w:r w:rsidRPr="00C3302B">
        <w:rPr>
          <w:szCs w:val="24"/>
        </w:rPr>
        <w:t xml:space="preserve">2. </w:t>
      </w:r>
      <w:r w:rsidR="006E1E2B">
        <w:rPr>
          <w:szCs w:val="24"/>
        </w:rPr>
        <w:t>Dáta a metodológia</w:t>
      </w:r>
      <w:r w:rsidR="001447C6" w:rsidRPr="00C3302B">
        <w:rPr>
          <w:szCs w:val="24"/>
        </w:rPr>
        <w:t xml:space="preserve"> </w:t>
      </w:r>
    </w:p>
    <w:p w:rsidR="006E1E2B" w:rsidRDefault="00697279" w:rsidP="00697279">
      <w:pPr>
        <w:spacing w:after="120"/>
        <w:rPr>
          <w:szCs w:val="24"/>
          <w:lang w:val="en-GB"/>
        </w:rPr>
      </w:pPr>
      <w:r>
        <w:rPr>
          <w:szCs w:val="24"/>
          <w:lang w:val="en-GB"/>
        </w:rPr>
        <w:t xml:space="preserve">Údaje boli čerpané zo Štatistického úradu SR a z Ministerstva pôdohospodárstva a rozvoja vidieka SR. Sledovaným obdobím sú roky 2007 až 2012. V článku boli využité metódy analýzy, syntézy a dedukcie a pri spracovaní údajov jednoduché matematicko – štatistické metódy. </w:t>
      </w:r>
    </w:p>
    <w:p w:rsidR="00062642" w:rsidRPr="00C3302B" w:rsidRDefault="00062642" w:rsidP="006E1E2B">
      <w:pPr>
        <w:spacing w:after="120"/>
        <w:rPr>
          <w:szCs w:val="24"/>
          <w:lang w:val="en-GB"/>
        </w:rPr>
      </w:pPr>
    </w:p>
    <w:p w:rsidR="006F28D5" w:rsidRPr="00C3302B" w:rsidRDefault="006F28D5" w:rsidP="006F28D5">
      <w:pPr>
        <w:pStyle w:val="Nadpis1"/>
        <w:rPr>
          <w:szCs w:val="24"/>
        </w:rPr>
      </w:pPr>
      <w:r w:rsidRPr="00C3302B">
        <w:rPr>
          <w:szCs w:val="24"/>
        </w:rPr>
        <w:lastRenderedPageBreak/>
        <w:t xml:space="preserve">3. </w:t>
      </w:r>
      <w:r w:rsidR="006E1E2B">
        <w:rPr>
          <w:szCs w:val="24"/>
        </w:rPr>
        <w:t>Výsledky a diskusia</w:t>
      </w:r>
    </w:p>
    <w:p w:rsidR="00A55D05" w:rsidRPr="00A55D05" w:rsidRDefault="009A2302" w:rsidP="00A55D05">
      <w:pPr>
        <w:spacing w:after="120"/>
        <w:rPr>
          <w:b/>
          <w:sz w:val="22"/>
          <w:lang w:val="sk-SK"/>
        </w:rPr>
      </w:pPr>
      <w:r>
        <w:rPr>
          <w:b/>
          <w:sz w:val="22"/>
          <w:lang w:val="sk-SK"/>
        </w:rPr>
        <w:t>Tabuľka 1: Pôda (bez vodných plôch)</w:t>
      </w:r>
      <w:r w:rsidR="008E0B06">
        <w:rPr>
          <w:b/>
          <w:sz w:val="22"/>
          <w:lang w:val="sk-SK"/>
        </w:rPr>
        <w:t xml:space="preserve"> v SR</w:t>
      </w:r>
      <w:r w:rsidR="00B53838">
        <w:rPr>
          <w:b/>
          <w:sz w:val="22"/>
          <w:lang w:val="sk-SK"/>
        </w:rPr>
        <w:t xml:space="preserve"> v rokoch 2007 až 2012</w:t>
      </w:r>
    </w:p>
    <w:tbl>
      <w:tblPr>
        <w:tblStyle w:val="Mriekatabuky"/>
        <w:tblW w:w="8364" w:type="dxa"/>
        <w:tblLook w:val="04A0" w:firstRow="1" w:lastRow="0" w:firstColumn="1" w:lastColumn="0" w:noHBand="0" w:noVBand="1"/>
      </w:tblPr>
      <w:tblGrid>
        <w:gridCol w:w="1668"/>
        <w:gridCol w:w="1116"/>
        <w:gridCol w:w="1116"/>
        <w:gridCol w:w="1116"/>
        <w:gridCol w:w="1116"/>
        <w:gridCol w:w="1116"/>
        <w:gridCol w:w="1116"/>
      </w:tblGrid>
      <w:tr w:rsidR="00A55D05" w:rsidRPr="00A55D05" w:rsidTr="009F5C8B">
        <w:trPr>
          <w:trHeight w:val="315"/>
        </w:trPr>
        <w:tc>
          <w:tcPr>
            <w:tcW w:w="1668" w:type="dxa"/>
            <w:noWrap/>
            <w:hideMark/>
          </w:tcPr>
          <w:p w:rsidR="00A55D05" w:rsidRPr="00381C44" w:rsidRDefault="009A2302" w:rsidP="009A2302">
            <w:pPr>
              <w:spacing w:after="120"/>
              <w:jc w:val="left"/>
              <w:rPr>
                <w:b/>
                <w:bCs/>
                <w:sz w:val="20"/>
                <w:szCs w:val="20"/>
                <w:lang w:val="sk-SK"/>
              </w:rPr>
            </w:pPr>
            <w:r w:rsidRPr="00381C44">
              <w:rPr>
                <w:b/>
                <w:bCs/>
                <w:sz w:val="20"/>
                <w:szCs w:val="20"/>
                <w:lang w:val="sk-SK"/>
              </w:rPr>
              <w:t>Celková výmera v ha</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2007</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2008</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2009</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2010</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2011</w:t>
            </w:r>
          </w:p>
        </w:tc>
        <w:tc>
          <w:tcPr>
            <w:tcW w:w="1116" w:type="dxa"/>
            <w:noWrap/>
            <w:hideMark/>
          </w:tcPr>
          <w:p w:rsidR="00A55D05" w:rsidRPr="00381C44" w:rsidRDefault="00A55D05" w:rsidP="009A2302">
            <w:pPr>
              <w:spacing w:after="120"/>
              <w:jc w:val="center"/>
              <w:rPr>
                <w:b/>
                <w:sz w:val="20"/>
                <w:szCs w:val="20"/>
                <w:lang w:val="sk-SK"/>
              </w:rPr>
            </w:pPr>
            <w:r w:rsidRPr="00381C44">
              <w:rPr>
                <w:b/>
                <w:sz w:val="20"/>
                <w:szCs w:val="20"/>
                <w:lang w:val="sk-SK"/>
              </w:rPr>
              <w:t>2012</w:t>
            </w:r>
          </w:p>
        </w:tc>
      </w:tr>
      <w:tr w:rsidR="00A55D05" w:rsidRPr="00A55D05" w:rsidTr="009F5C8B">
        <w:trPr>
          <w:trHeight w:val="315"/>
        </w:trPr>
        <w:tc>
          <w:tcPr>
            <w:tcW w:w="1668" w:type="dxa"/>
            <w:noWrap/>
            <w:hideMark/>
          </w:tcPr>
          <w:p w:rsidR="00A55D05" w:rsidRPr="00381C44" w:rsidRDefault="009A2302" w:rsidP="009A2302">
            <w:pPr>
              <w:spacing w:after="120"/>
              <w:jc w:val="left"/>
              <w:rPr>
                <w:b/>
                <w:bCs/>
                <w:sz w:val="20"/>
                <w:szCs w:val="20"/>
                <w:lang w:val="sk-SK"/>
              </w:rPr>
            </w:pPr>
            <w:r w:rsidRPr="00381C44">
              <w:rPr>
                <w:b/>
                <w:bCs/>
                <w:sz w:val="20"/>
                <w:szCs w:val="20"/>
                <w:lang w:val="sk-SK"/>
              </w:rPr>
              <w:t>pôda</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4 810 072</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4 809 911</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4 809 129</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4 808 883</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4 808 849</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4 808 793</w:t>
            </w:r>
          </w:p>
        </w:tc>
      </w:tr>
      <w:tr w:rsidR="00381C44" w:rsidRPr="00A55D05" w:rsidTr="009F5C8B">
        <w:trPr>
          <w:trHeight w:val="315"/>
        </w:trPr>
        <w:tc>
          <w:tcPr>
            <w:tcW w:w="1668" w:type="dxa"/>
            <w:noWrap/>
            <w:hideMark/>
          </w:tcPr>
          <w:p w:rsidR="00A55D05" w:rsidRPr="00381C44" w:rsidRDefault="009A2302" w:rsidP="009A2302">
            <w:pPr>
              <w:spacing w:after="120"/>
              <w:jc w:val="left"/>
              <w:rPr>
                <w:b/>
                <w:bCs/>
                <w:sz w:val="20"/>
                <w:szCs w:val="20"/>
                <w:lang w:val="sk-SK"/>
              </w:rPr>
            </w:pPr>
            <w:r w:rsidRPr="00381C44">
              <w:rPr>
                <w:b/>
                <w:bCs/>
                <w:sz w:val="20"/>
                <w:szCs w:val="20"/>
                <w:lang w:val="sk-SK"/>
              </w:rPr>
              <w:t>z toho</w:t>
            </w:r>
          </w:p>
        </w:tc>
        <w:tc>
          <w:tcPr>
            <w:tcW w:w="1116" w:type="dxa"/>
            <w:noWrap/>
            <w:hideMark/>
          </w:tcPr>
          <w:p w:rsidR="00A55D05" w:rsidRPr="00381C44" w:rsidRDefault="00A55D05" w:rsidP="009A2302">
            <w:pPr>
              <w:spacing w:after="120"/>
              <w:jc w:val="center"/>
              <w:rPr>
                <w:sz w:val="20"/>
                <w:szCs w:val="20"/>
                <w:lang w:val="sk-SK"/>
              </w:rPr>
            </w:pPr>
          </w:p>
        </w:tc>
        <w:tc>
          <w:tcPr>
            <w:tcW w:w="1116" w:type="dxa"/>
            <w:noWrap/>
            <w:hideMark/>
          </w:tcPr>
          <w:p w:rsidR="00A55D05" w:rsidRPr="00381C44" w:rsidRDefault="00A55D05" w:rsidP="009A2302">
            <w:pPr>
              <w:spacing w:after="120"/>
              <w:jc w:val="center"/>
              <w:rPr>
                <w:sz w:val="20"/>
                <w:szCs w:val="20"/>
                <w:lang w:val="sk-SK"/>
              </w:rPr>
            </w:pPr>
          </w:p>
        </w:tc>
        <w:tc>
          <w:tcPr>
            <w:tcW w:w="1116" w:type="dxa"/>
            <w:noWrap/>
            <w:hideMark/>
          </w:tcPr>
          <w:p w:rsidR="00A55D05" w:rsidRPr="00381C44" w:rsidRDefault="00A55D05" w:rsidP="009A2302">
            <w:pPr>
              <w:spacing w:after="120"/>
              <w:jc w:val="center"/>
              <w:rPr>
                <w:sz w:val="20"/>
                <w:szCs w:val="20"/>
                <w:lang w:val="sk-SK"/>
              </w:rPr>
            </w:pPr>
          </w:p>
        </w:tc>
        <w:tc>
          <w:tcPr>
            <w:tcW w:w="1116" w:type="dxa"/>
            <w:noWrap/>
            <w:hideMark/>
          </w:tcPr>
          <w:p w:rsidR="00A55D05" w:rsidRPr="00381C44" w:rsidRDefault="00A55D05" w:rsidP="009A2302">
            <w:pPr>
              <w:spacing w:after="120"/>
              <w:jc w:val="center"/>
              <w:rPr>
                <w:sz w:val="20"/>
                <w:szCs w:val="20"/>
                <w:lang w:val="sk-SK"/>
              </w:rPr>
            </w:pPr>
          </w:p>
        </w:tc>
        <w:tc>
          <w:tcPr>
            <w:tcW w:w="1116" w:type="dxa"/>
            <w:noWrap/>
            <w:hideMark/>
          </w:tcPr>
          <w:p w:rsidR="00A55D05" w:rsidRPr="00381C44" w:rsidRDefault="00A55D05" w:rsidP="009A2302">
            <w:pPr>
              <w:spacing w:after="120"/>
              <w:jc w:val="center"/>
              <w:rPr>
                <w:sz w:val="20"/>
                <w:szCs w:val="20"/>
                <w:lang w:val="sk-SK"/>
              </w:rPr>
            </w:pPr>
          </w:p>
        </w:tc>
        <w:tc>
          <w:tcPr>
            <w:tcW w:w="1116" w:type="dxa"/>
            <w:noWrap/>
            <w:hideMark/>
          </w:tcPr>
          <w:p w:rsidR="00A55D05" w:rsidRPr="00381C44" w:rsidRDefault="00A55D05" w:rsidP="009A2302">
            <w:pPr>
              <w:spacing w:after="120"/>
              <w:jc w:val="center"/>
              <w:rPr>
                <w:sz w:val="20"/>
                <w:szCs w:val="20"/>
                <w:lang w:val="sk-SK"/>
              </w:rPr>
            </w:pPr>
          </w:p>
        </w:tc>
      </w:tr>
      <w:tr w:rsidR="00A55D05" w:rsidRPr="00A55D05" w:rsidTr="009F5C8B">
        <w:trPr>
          <w:trHeight w:val="315"/>
        </w:trPr>
        <w:tc>
          <w:tcPr>
            <w:tcW w:w="1668" w:type="dxa"/>
            <w:noWrap/>
            <w:hideMark/>
          </w:tcPr>
          <w:p w:rsidR="00A55D05" w:rsidRPr="00381C44" w:rsidRDefault="009A2302" w:rsidP="009A2302">
            <w:pPr>
              <w:spacing w:after="120"/>
              <w:jc w:val="left"/>
              <w:rPr>
                <w:b/>
                <w:bCs/>
                <w:sz w:val="20"/>
                <w:szCs w:val="20"/>
                <w:lang w:val="sk-SK"/>
              </w:rPr>
            </w:pPr>
            <w:r w:rsidRPr="00381C44">
              <w:rPr>
                <w:b/>
                <w:bCs/>
                <w:sz w:val="20"/>
                <w:szCs w:val="20"/>
                <w:lang w:val="sk-SK"/>
              </w:rPr>
              <w:t>využívaná</w:t>
            </w:r>
            <w:r w:rsidR="00A55D05" w:rsidRPr="00381C44">
              <w:rPr>
                <w:b/>
                <w:bCs/>
                <w:sz w:val="20"/>
                <w:szCs w:val="20"/>
                <w:lang w:val="sk-SK"/>
              </w:rPr>
              <w:t xml:space="preserve"> poľ.</w:t>
            </w:r>
            <w:r w:rsidRPr="00381C44">
              <w:rPr>
                <w:b/>
                <w:bCs/>
                <w:sz w:val="20"/>
                <w:szCs w:val="20"/>
                <w:lang w:val="sk-SK"/>
              </w:rPr>
              <w:t xml:space="preserve"> </w:t>
            </w:r>
            <w:r w:rsidR="00A55D05" w:rsidRPr="00381C44">
              <w:rPr>
                <w:b/>
                <w:bCs/>
                <w:sz w:val="20"/>
                <w:szCs w:val="20"/>
                <w:lang w:val="sk-SK"/>
              </w:rPr>
              <w:t>pôda</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1 930 570</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1 936 938</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1 930 348</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1 921 961</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1 929 697</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1 927 450</w:t>
            </w:r>
          </w:p>
        </w:tc>
      </w:tr>
      <w:tr w:rsidR="00A55D05" w:rsidRPr="00A55D05" w:rsidTr="009F5C8B">
        <w:trPr>
          <w:trHeight w:val="315"/>
        </w:trPr>
        <w:tc>
          <w:tcPr>
            <w:tcW w:w="1668" w:type="dxa"/>
            <w:noWrap/>
            <w:hideMark/>
          </w:tcPr>
          <w:p w:rsidR="00A55D05" w:rsidRPr="00381C44" w:rsidRDefault="00A55D05" w:rsidP="009A2302">
            <w:pPr>
              <w:spacing w:after="120"/>
              <w:jc w:val="left"/>
              <w:rPr>
                <w:b/>
                <w:bCs/>
                <w:sz w:val="20"/>
                <w:szCs w:val="20"/>
                <w:lang w:val="sk-SK"/>
              </w:rPr>
            </w:pPr>
            <w:r w:rsidRPr="00381C44">
              <w:rPr>
                <w:b/>
                <w:bCs/>
                <w:sz w:val="20"/>
                <w:szCs w:val="20"/>
                <w:lang w:val="sk-SK"/>
              </w:rPr>
              <w:t>lesné pozemky</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2 006 939</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2 007 144</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2 008 257</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2 011 249</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2 012 337</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2 014 059</w:t>
            </w:r>
          </w:p>
        </w:tc>
      </w:tr>
      <w:tr w:rsidR="00A55D05" w:rsidRPr="00A55D05" w:rsidTr="009F5C8B">
        <w:trPr>
          <w:trHeight w:val="315"/>
        </w:trPr>
        <w:tc>
          <w:tcPr>
            <w:tcW w:w="1668" w:type="dxa"/>
            <w:noWrap/>
            <w:hideMark/>
          </w:tcPr>
          <w:p w:rsidR="00A55D05" w:rsidRPr="00381C44" w:rsidRDefault="00A55D05" w:rsidP="009A2302">
            <w:pPr>
              <w:spacing w:after="120"/>
              <w:jc w:val="left"/>
              <w:rPr>
                <w:b/>
                <w:bCs/>
                <w:sz w:val="20"/>
                <w:szCs w:val="20"/>
                <w:lang w:val="sk-SK"/>
              </w:rPr>
            </w:pPr>
            <w:r w:rsidRPr="00381C44">
              <w:rPr>
                <w:b/>
                <w:bCs/>
                <w:sz w:val="20"/>
                <w:szCs w:val="20"/>
                <w:lang w:val="sk-SK"/>
              </w:rPr>
              <w:t>ostatné plochy</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872 481</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865 829</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870 524</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875 673</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866 815</w:t>
            </w:r>
          </w:p>
        </w:tc>
        <w:tc>
          <w:tcPr>
            <w:tcW w:w="1116" w:type="dxa"/>
            <w:noWrap/>
            <w:hideMark/>
          </w:tcPr>
          <w:p w:rsidR="00A55D05" w:rsidRPr="00381C44" w:rsidRDefault="00A55D05" w:rsidP="009A2302">
            <w:pPr>
              <w:spacing w:after="120"/>
              <w:jc w:val="center"/>
              <w:rPr>
                <w:sz w:val="20"/>
                <w:szCs w:val="20"/>
                <w:lang w:val="sk-SK"/>
              </w:rPr>
            </w:pPr>
            <w:r w:rsidRPr="00381C44">
              <w:rPr>
                <w:sz w:val="20"/>
                <w:szCs w:val="20"/>
                <w:lang w:val="sk-SK"/>
              </w:rPr>
              <w:t>867 284</w:t>
            </w:r>
          </w:p>
        </w:tc>
      </w:tr>
    </w:tbl>
    <w:p w:rsidR="00A55D05" w:rsidRPr="009A2302" w:rsidRDefault="00A55D05" w:rsidP="009A2302">
      <w:pPr>
        <w:spacing w:after="120"/>
        <w:jc w:val="left"/>
        <w:rPr>
          <w:sz w:val="20"/>
          <w:szCs w:val="20"/>
          <w:lang w:val="sk-SK"/>
        </w:rPr>
      </w:pPr>
      <w:r w:rsidRPr="009A2302">
        <w:rPr>
          <w:sz w:val="20"/>
          <w:szCs w:val="20"/>
          <w:lang w:val="sk-SK"/>
        </w:rPr>
        <w:t>Zdroj : Vlastné spracovanie na základe údajov Štatisti</w:t>
      </w:r>
      <w:r w:rsidR="008613E1">
        <w:rPr>
          <w:sz w:val="20"/>
          <w:szCs w:val="20"/>
          <w:lang w:val="sk-SK"/>
        </w:rPr>
        <w:t>ckého úradu SR</w:t>
      </w:r>
      <w:r w:rsidRPr="009A2302">
        <w:rPr>
          <w:sz w:val="20"/>
          <w:szCs w:val="20"/>
          <w:lang w:val="sk-SK"/>
        </w:rPr>
        <w:t>. Dostupné na internete : &lt;http://www.statistics.sk/pls/elisw/casovy_Rad.procDlg&gt;.</w:t>
      </w:r>
    </w:p>
    <w:p w:rsidR="00C74010" w:rsidRPr="00C74010" w:rsidRDefault="00C74010" w:rsidP="00C74010">
      <w:pPr>
        <w:spacing w:after="120"/>
        <w:rPr>
          <w:szCs w:val="24"/>
          <w:lang w:val="sk-SK"/>
        </w:rPr>
      </w:pPr>
      <w:r w:rsidRPr="00C74010">
        <w:rPr>
          <w:szCs w:val="24"/>
          <w:lang w:val="sk-SK"/>
        </w:rPr>
        <w:t xml:space="preserve">V roku 2008 bola využívaná poľnohospodárska pôda vo výmere celkom 1 936 938 ha. Najnižšiu výmeru využívanej poľnohospodárskej pôdy podľa štatistických údajov sme zaznamenali v roku 2010, kedy táto výmera dosiahla 1 921 961 ha. Rok 2010 je aj rokom s najvyšším poklesom v medziročnom porovnaní, a to až o 8 387 ha. V roku 2011 evidujeme nárast o 7 736 ha využívanej poľnohospodárskej pôdy, ale rok 2012 je poznačený opäť poklesom, hoci tento je podstatne menší ako v roku 2010 (pokles o 2 247 ha). </w:t>
      </w:r>
    </w:p>
    <w:p w:rsidR="00C74010" w:rsidRPr="00C74010" w:rsidRDefault="00C74010" w:rsidP="00C74010">
      <w:pPr>
        <w:spacing w:after="120"/>
        <w:rPr>
          <w:szCs w:val="24"/>
          <w:lang w:val="sk-SK"/>
        </w:rPr>
      </w:pPr>
      <w:r w:rsidRPr="00C74010">
        <w:rPr>
          <w:szCs w:val="24"/>
          <w:lang w:val="sk-SK"/>
        </w:rPr>
        <w:t xml:space="preserve">Ako priaznivý možno hodnotiť </w:t>
      </w:r>
      <w:r w:rsidR="00156015">
        <w:rPr>
          <w:szCs w:val="24"/>
          <w:lang w:val="sk-SK"/>
        </w:rPr>
        <w:t>stav vo vývoji lesných pozemkov</w:t>
      </w:r>
      <w:r w:rsidRPr="00C74010">
        <w:rPr>
          <w:szCs w:val="24"/>
          <w:lang w:val="sk-SK"/>
        </w:rPr>
        <w:t>, ktoré v oboch sledovaných obdobiach pravidelne zvyšujú svoju rozlohu. Porovnaním medzi rokom 2012 a 2007 zisťujeme, že za týchto šesť rokov došlo k nárastu o 7 120 ha lesných pozemkov.  Vývoj ostatných poľnohospodársk</w:t>
      </w:r>
      <w:r w:rsidR="009847F8">
        <w:rPr>
          <w:szCs w:val="24"/>
          <w:lang w:val="sk-SK"/>
        </w:rPr>
        <w:t>ych plôch je kolísavý</w:t>
      </w:r>
      <w:r w:rsidRPr="00C74010">
        <w:rPr>
          <w:szCs w:val="24"/>
          <w:lang w:val="sk-SK"/>
        </w:rPr>
        <w:t>. Najnižšiu hodnotu tento ukazovateľ dosiahol v roku 2008, kedy ostatné poľnohospodárske plochy predstavovali 865 829 ha. Najvyššiu hodnotu sme evidovali v roku 2010, kedy bola táto výmera 875 673 ha. Rozdiel medzi najvyššou a najnižšou hodnotou v sledovanom období je 9 844 ha. Rok 2011 bol rokom, kedy došlo k najvyššiemu medziročnému</w:t>
      </w:r>
      <w:r w:rsidR="009847F8">
        <w:rPr>
          <w:szCs w:val="24"/>
          <w:lang w:val="sk-SK"/>
        </w:rPr>
        <w:t xml:space="preserve"> poklesu vo využívaní ostatných </w:t>
      </w:r>
      <w:r w:rsidRPr="00C74010">
        <w:rPr>
          <w:szCs w:val="24"/>
          <w:lang w:val="sk-SK"/>
        </w:rPr>
        <w:t>poľnohospodár</w:t>
      </w:r>
      <w:r w:rsidR="009847F8">
        <w:rPr>
          <w:szCs w:val="24"/>
          <w:lang w:val="sk-SK"/>
        </w:rPr>
        <w:t xml:space="preserve">skych pôd, a to až o 8 858 ha. </w:t>
      </w:r>
      <w:r w:rsidRPr="00C74010">
        <w:rPr>
          <w:szCs w:val="24"/>
          <w:lang w:val="sk-SK"/>
        </w:rPr>
        <w:t>Posledný sledovaný rok tento ukazovateľ mierne vzrástol.</w:t>
      </w:r>
    </w:p>
    <w:p w:rsidR="00A21A8F" w:rsidRPr="00A21A8F" w:rsidRDefault="00A21A8F" w:rsidP="00A21A8F">
      <w:pPr>
        <w:spacing w:after="120"/>
        <w:rPr>
          <w:b/>
          <w:sz w:val="22"/>
          <w:lang w:val="sk-SK"/>
        </w:rPr>
      </w:pPr>
      <w:r w:rsidRPr="00A21A8F">
        <w:rPr>
          <w:b/>
          <w:sz w:val="22"/>
          <w:lang w:val="sk-SK"/>
        </w:rPr>
        <w:t>Tabuľka 2: Rozdelenie využívanej poľnohospodár</w:t>
      </w:r>
      <w:r w:rsidR="008E0B06">
        <w:rPr>
          <w:b/>
          <w:sz w:val="22"/>
          <w:lang w:val="sk-SK"/>
        </w:rPr>
        <w:t>skej pôdy v SR</w:t>
      </w:r>
      <w:r w:rsidRPr="00A21A8F">
        <w:rPr>
          <w:b/>
          <w:sz w:val="22"/>
          <w:lang w:val="sk-SK"/>
        </w:rPr>
        <w:t xml:space="preserve"> v rokoch 20</w:t>
      </w:r>
      <w:r w:rsidR="00B53838">
        <w:rPr>
          <w:b/>
          <w:sz w:val="22"/>
          <w:lang w:val="sk-SK"/>
        </w:rPr>
        <w:t>07 až 2012</w:t>
      </w:r>
    </w:p>
    <w:tbl>
      <w:tblPr>
        <w:tblStyle w:val="Mriekatabuky"/>
        <w:tblW w:w="8674" w:type="dxa"/>
        <w:tblLook w:val="04A0" w:firstRow="1" w:lastRow="0" w:firstColumn="1" w:lastColumn="0" w:noHBand="0" w:noVBand="1"/>
      </w:tblPr>
      <w:tblGrid>
        <w:gridCol w:w="1978"/>
        <w:gridCol w:w="1116"/>
        <w:gridCol w:w="1116"/>
        <w:gridCol w:w="1116"/>
        <w:gridCol w:w="1116"/>
        <w:gridCol w:w="1116"/>
        <w:gridCol w:w="1116"/>
      </w:tblGrid>
      <w:tr w:rsidR="00A21A8F" w:rsidRPr="00A21A8F" w:rsidTr="008E0B06">
        <w:trPr>
          <w:trHeight w:val="315"/>
        </w:trPr>
        <w:tc>
          <w:tcPr>
            <w:tcW w:w="1978" w:type="dxa"/>
            <w:noWrap/>
            <w:hideMark/>
          </w:tcPr>
          <w:p w:rsidR="00A21A8F" w:rsidRPr="00A21A8F" w:rsidRDefault="00A21A8F" w:rsidP="00A21A8F">
            <w:pPr>
              <w:spacing w:after="120"/>
              <w:jc w:val="left"/>
              <w:rPr>
                <w:b/>
                <w:bCs/>
                <w:sz w:val="20"/>
                <w:szCs w:val="20"/>
                <w:lang w:val="sk-SK"/>
              </w:rPr>
            </w:pPr>
            <w:r w:rsidRPr="00A21A8F">
              <w:rPr>
                <w:b/>
                <w:bCs/>
                <w:sz w:val="20"/>
                <w:szCs w:val="20"/>
                <w:lang w:val="sk-SK"/>
              </w:rPr>
              <w:t> </w:t>
            </w:r>
            <w:r>
              <w:rPr>
                <w:b/>
                <w:bCs/>
                <w:sz w:val="20"/>
                <w:szCs w:val="20"/>
                <w:lang w:val="sk-SK"/>
              </w:rPr>
              <w:t>Výmera v ha</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2007</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2008</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2009</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2010</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2011</w:t>
            </w:r>
          </w:p>
        </w:tc>
        <w:tc>
          <w:tcPr>
            <w:tcW w:w="1116" w:type="dxa"/>
            <w:noWrap/>
            <w:hideMark/>
          </w:tcPr>
          <w:p w:rsidR="00A21A8F" w:rsidRPr="00A21A8F" w:rsidRDefault="00A21A8F" w:rsidP="00A21A8F">
            <w:pPr>
              <w:spacing w:after="120"/>
              <w:jc w:val="center"/>
              <w:rPr>
                <w:b/>
                <w:sz w:val="20"/>
                <w:szCs w:val="20"/>
                <w:lang w:val="sk-SK"/>
              </w:rPr>
            </w:pPr>
            <w:r w:rsidRPr="00A21A8F">
              <w:rPr>
                <w:b/>
                <w:sz w:val="20"/>
                <w:szCs w:val="20"/>
                <w:lang w:val="sk-SK"/>
              </w:rPr>
              <w:t>2012</w:t>
            </w:r>
          </w:p>
        </w:tc>
      </w:tr>
      <w:tr w:rsidR="00A21A8F" w:rsidRPr="00A21A8F" w:rsidTr="008E0B06">
        <w:trPr>
          <w:trHeight w:val="315"/>
        </w:trPr>
        <w:tc>
          <w:tcPr>
            <w:tcW w:w="1978" w:type="dxa"/>
            <w:noWrap/>
            <w:hideMark/>
          </w:tcPr>
          <w:p w:rsidR="00A21A8F" w:rsidRPr="00A21A8F" w:rsidRDefault="00A21A8F" w:rsidP="00A21A8F">
            <w:pPr>
              <w:spacing w:after="120"/>
              <w:jc w:val="left"/>
              <w:rPr>
                <w:b/>
                <w:bCs/>
                <w:sz w:val="20"/>
                <w:szCs w:val="20"/>
                <w:lang w:val="sk-SK"/>
              </w:rPr>
            </w:pPr>
            <w:r w:rsidRPr="00A21A8F">
              <w:rPr>
                <w:b/>
                <w:bCs/>
                <w:sz w:val="20"/>
                <w:szCs w:val="20"/>
                <w:lang w:val="sk-SK"/>
              </w:rPr>
              <w:t>orná pôda</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1 342 805</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1 349 311</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1 351 779</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1 354 436</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1 358 422</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1 359 979</w:t>
            </w:r>
          </w:p>
        </w:tc>
      </w:tr>
      <w:tr w:rsidR="00A21A8F" w:rsidRPr="00A21A8F" w:rsidTr="008E0B06">
        <w:trPr>
          <w:trHeight w:val="315"/>
        </w:trPr>
        <w:tc>
          <w:tcPr>
            <w:tcW w:w="1978" w:type="dxa"/>
            <w:noWrap/>
            <w:hideMark/>
          </w:tcPr>
          <w:p w:rsidR="00A21A8F" w:rsidRPr="00A21A8F" w:rsidRDefault="00A21A8F" w:rsidP="00A21A8F">
            <w:pPr>
              <w:spacing w:after="120"/>
              <w:jc w:val="left"/>
              <w:rPr>
                <w:b/>
                <w:bCs/>
                <w:sz w:val="20"/>
                <w:szCs w:val="20"/>
                <w:lang w:val="sk-SK"/>
              </w:rPr>
            </w:pPr>
            <w:r w:rsidRPr="00A21A8F">
              <w:rPr>
                <w:b/>
                <w:bCs/>
                <w:sz w:val="20"/>
                <w:szCs w:val="20"/>
                <w:lang w:val="sk-SK"/>
              </w:rPr>
              <w:t>trvalé porasty</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24 895</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24 579</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22 369</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23 468</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20 420</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19 185</w:t>
            </w:r>
          </w:p>
        </w:tc>
      </w:tr>
      <w:tr w:rsidR="00A21A8F" w:rsidRPr="00A21A8F" w:rsidTr="008E0B06">
        <w:trPr>
          <w:trHeight w:val="315"/>
        </w:trPr>
        <w:tc>
          <w:tcPr>
            <w:tcW w:w="1978" w:type="dxa"/>
            <w:noWrap/>
            <w:hideMark/>
          </w:tcPr>
          <w:p w:rsidR="00A21A8F" w:rsidRPr="00A21A8F" w:rsidRDefault="00A21A8F" w:rsidP="00A21A8F">
            <w:pPr>
              <w:spacing w:after="120"/>
              <w:jc w:val="left"/>
              <w:rPr>
                <w:b/>
                <w:bCs/>
                <w:sz w:val="20"/>
                <w:szCs w:val="20"/>
                <w:lang w:val="sk-SK"/>
              </w:rPr>
            </w:pPr>
            <w:r>
              <w:rPr>
                <w:b/>
                <w:bCs/>
                <w:sz w:val="20"/>
                <w:szCs w:val="20"/>
                <w:lang w:val="sk-SK"/>
              </w:rPr>
              <w:t xml:space="preserve">ost.plochy, </w:t>
            </w:r>
            <w:r w:rsidRPr="00A21A8F">
              <w:rPr>
                <w:b/>
                <w:bCs/>
                <w:sz w:val="20"/>
                <w:szCs w:val="20"/>
                <w:lang w:val="sk-SK"/>
              </w:rPr>
              <w:t>záhrady</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34 368</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33 464</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31 007</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31 028</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32 625</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33 344</w:t>
            </w:r>
          </w:p>
        </w:tc>
      </w:tr>
      <w:tr w:rsidR="00A21A8F" w:rsidRPr="00A21A8F" w:rsidTr="008E0B06">
        <w:trPr>
          <w:trHeight w:val="315"/>
        </w:trPr>
        <w:tc>
          <w:tcPr>
            <w:tcW w:w="1978" w:type="dxa"/>
            <w:noWrap/>
            <w:hideMark/>
          </w:tcPr>
          <w:p w:rsidR="00A21A8F" w:rsidRPr="00A21A8F" w:rsidRDefault="00A21A8F" w:rsidP="00A21A8F">
            <w:pPr>
              <w:spacing w:after="120"/>
              <w:jc w:val="left"/>
              <w:rPr>
                <w:b/>
                <w:bCs/>
                <w:sz w:val="20"/>
                <w:szCs w:val="20"/>
                <w:lang w:val="sk-SK"/>
              </w:rPr>
            </w:pPr>
            <w:r w:rsidRPr="00A21A8F">
              <w:rPr>
                <w:b/>
                <w:bCs/>
                <w:sz w:val="20"/>
                <w:szCs w:val="20"/>
                <w:lang w:val="sk-SK"/>
              </w:rPr>
              <w:t>lúky a pasienky</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528 502</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531 584</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523 609</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513 029</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518 230</w:t>
            </w:r>
          </w:p>
        </w:tc>
        <w:tc>
          <w:tcPr>
            <w:tcW w:w="1116" w:type="dxa"/>
            <w:noWrap/>
            <w:hideMark/>
          </w:tcPr>
          <w:p w:rsidR="00A21A8F" w:rsidRPr="00A21A8F" w:rsidRDefault="00A21A8F" w:rsidP="00A21A8F">
            <w:pPr>
              <w:spacing w:after="120"/>
              <w:jc w:val="center"/>
              <w:rPr>
                <w:sz w:val="20"/>
                <w:szCs w:val="20"/>
                <w:lang w:val="sk-SK"/>
              </w:rPr>
            </w:pPr>
            <w:r w:rsidRPr="00A21A8F">
              <w:rPr>
                <w:sz w:val="20"/>
                <w:szCs w:val="20"/>
                <w:lang w:val="sk-SK"/>
              </w:rPr>
              <w:t>514 942</w:t>
            </w:r>
          </w:p>
        </w:tc>
      </w:tr>
    </w:tbl>
    <w:p w:rsidR="00A21A8F" w:rsidRPr="00A21A8F" w:rsidRDefault="00A21A8F" w:rsidP="00A21A8F">
      <w:pPr>
        <w:spacing w:after="120"/>
        <w:rPr>
          <w:sz w:val="20"/>
          <w:szCs w:val="20"/>
          <w:lang w:val="sk-SK"/>
        </w:rPr>
      </w:pPr>
      <w:r w:rsidRPr="00A21A8F">
        <w:rPr>
          <w:sz w:val="20"/>
          <w:szCs w:val="20"/>
          <w:lang w:val="sk-SK"/>
        </w:rPr>
        <w:t>Zdroj : Vlastné spracovanie na základe údajov Štatisti</w:t>
      </w:r>
      <w:r w:rsidR="008613E1">
        <w:rPr>
          <w:sz w:val="20"/>
          <w:szCs w:val="20"/>
          <w:lang w:val="sk-SK"/>
        </w:rPr>
        <w:t>ckého úradu SR</w:t>
      </w:r>
      <w:r w:rsidRPr="00A21A8F">
        <w:rPr>
          <w:sz w:val="20"/>
          <w:szCs w:val="20"/>
          <w:lang w:val="sk-SK"/>
        </w:rPr>
        <w:t>. Dostupné na internete : &lt;http://www.statistics.sk/pls/elisw/casovy_Rad.procDlg&gt;.</w:t>
      </w:r>
    </w:p>
    <w:p w:rsidR="00B53838" w:rsidRDefault="00B53838" w:rsidP="006E1E2B">
      <w:pPr>
        <w:spacing w:after="120"/>
        <w:rPr>
          <w:szCs w:val="24"/>
          <w:lang w:val="sk-SK"/>
        </w:rPr>
      </w:pPr>
      <w:r w:rsidRPr="00B53838">
        <w:rPr>
          <w:szCs w:val="24"/>
          <w:lang w:val="sk-SK"/>
        </w:rPr>
        <w:t>Najvyšší podiel poľnohospodár</w:t>
      </w:r>
      <w:r>
        <w:rPr>
          <w:szCs w:val="24"/>
          <w:lang w:val="sk-SK"/>
        </w:rPr>
        <w:t xml:space="preserve">skej pôdy tvorí orná pôda, kde </w:t>
      </w:r>
      <w:r w:rsidRPr="00B53838">
        <w:rPr>
          <w:szCs w:val="24"/>
          <w:lang w:val="sk-SK"/>
        </w:rPr>
        <w:t xml:space="preserve">sledujeme prevažne rastúci  vývoj v jej výmere, predovšetkým v období od roka 2007. Rozdiel medzi počiatočným stavom v roku 2007 a konečným v roku 2012 je 17 174 ha pôdy. </w:t>
      </w:r>
    </w:p>
    <w:p w:rsidR="00A756B9" w:rsidRPr="00A756B9" w:rsidRDefault="00B55BD1" w:rsidP="00A756B9">
      <w:pPr>
        <w:spacing w:after="120"/>
        <w:rPr>
          <w:szCs w:val="24"/>
          <w:lang w:val="sk-SK"/>
        </w:rPr>
      </w:pPr>
      <w:r>
        <w:rPr>
          <w:szCs w:val="24"/>
          <w:lang w:val="sk-SK"/>
        </w:rPr>
        <w:t>Nárast je</w:t>
      </w:r>
      <w:r w:rsidR="00A756B9" w:rsidRPr="00A756B9">
        <w:rPr>
          <w:szCs w:val="24"/>
          <w:lang w:val="sk-SK"/>
        </w:rPr>
        <w:t xml:space="preserve"> podm</w:t>
      </w:r>
      <w:r>
        <w:rPr>
          <w:szCs w:val="24"/>
          <w:lang w:val="sk-SK"/>
        </w:rPr>
        <w:t xml:space="preserve">ienený spôsobom vyplácania priamych podpôr v rámci </w:t>
      </w:r>
      <w:r w:rsidR="00A756B9" w:rsidRPr="00A756B9">
        <w:rPr>
          <w:szCs w:val="24"/>
          <w:lang w:val="sk-SK"/>
        </w:rPr>
        <w:t>Spoločnej poľnohospodárskej</w:t>
      </w:r>
      <w:r w:rsidR="00156015">
        <w:rPr>
          <w:szCs w:val="24"/>
          <w:lang w:val="sk-SK"/>
        </w:rPr>
        <w:t xml:space="preserve"> politiky, kde základom</w:t>
      </w:r>
      <w:bookmarkStart w:id="0" w:name="_GoBack"/>
      <w:bookmarkEnd w:id="0"/>
      <w:r>
        <w:rPr>
          <w:szCs w:val="24"/>
          <w:lang w:val="sk-SK"/>
        </w:rPr>
        <w:t xml:space="preserve"> pre výpočet je hektár pôdy. </w:t>
      </w:r>
      <w:r w:rsidR="00A756B9" w:rsidRPr="00A756B9">
        <w:rPr>
          <w:szCs w:val="24"/>
          <w:lang w:val="sk-SK"/>
        </w:rPr>
        <w:t>S využívaním ornej pôdy je úzko spätá aj poľnohospodárska produkcia. Jej vývoj za sledovan</w:t>
      </w:r>
      <w:r w:rsidR="00A756B9">
        <w:rPr>
          <w:szCs w:val="24"/>
          <w:lang w:val="sk-SK"/>
        </w:rPr>
        <w:t>é roky je spracovaný v tabuľke 3</w:t>
      </w:r>
      <w:r w:rsidR="00A756B9" w:rsidRPr="00A756B9">
        <w:rPr>
          <w:szCs w:val="24"/>
          <w:lang w:val="sk-SK"/>
        </w:rPr>
        <w:t>.</w:t>
      </w:r>
    </w:p>
    <w:p w:rsidR="00A5043A" w:rsidRDefault="00A5043A" w:rsidP="00A5043A">
      <w:pPr>
        <w:spacing w:after="120"/>
        <w:rPr>
          <w:b/>
          <w:sz w:val="22"/>
          <w:lang w:val="sk-SK"/>
        </w:rPr>
      </w:pPr>
    </w:p>
    <w:p w:rsidR="00A5043A" w:rsidRPr="00A5043A" w:rsidRDefault="00A5043A" w:rsidP="00A5043A">
      <w:pPr>
        <w:spacing w:after="120"/>
        <w:rPr>
          <w:b/>
          <w:sz w:val="22"/>
          <w:lang w:val="sk-SK"/>
        </w:rPr>
      </w:pPr>
      <w:r>
        <w:rPr>
          <w:b/>
          <w:sz w:val="22"/>
          <w:lang w:val="sk-SK"/>
        </w:rPr>
        <w:lastRenderedPageBreak/>
        <w:t>Tabuľka 3:</w:t>
      </w:r>
      <w:r w:rsidRPr="00A5043A">
        <w:rPr>
          <w:b/>
          <w:sz w:val="22"/>
          <w:lang w:val="sk-SK"/>
        </w:rPr>
        <w:t xml:space="preserve"> Poľnohospodárska </w:t>
      </w:r>
      <w:r>
        <w:rPr>
          <w:b/>
          <w:sz w:val="22"/>
          <w:lang w:val="sk-SK"/>
        </w:rPr>
        <w:t>produkcia v SR</w:t>
      </w:r>
      <w:r w:rsidRPr="00A5043A">
        <w:rPr>
          <w:b/>
          <w:sz w:val="22"/>
          <w:lang w:val="sk-SK"/>
        </w:rPr>
        <w:t xml:space="preserve"> v rokoch 2007 až 2012 v mil. €.</w:t>
      </w:r>
    </w:p>
    <w:tbl>
      <w:tblPr>
        <w:tblStyle w:val="Mriekatabuky"/>
        <w:tblW w:w="8980" w:type="dxa"/>
        <w:tblLook w:val="04A0" w:firstRow="1" w:lastRow="0" w:firstColumn="1" w:lastColumn="0" w:noHBand="0" w:noVBand="1"/>
      </w:tblPr>
      <w:tblGrid>
        <w:gridCol w:w="2140"/>
        <w:gridCol w:w="1140"/>
        <w:gridCol w:w="1140"/>
        <w:gridCol w:w="1140"/>
        <w:gridCol w:w="1140"/>
        <w:gridCol w:w="1140"/>
        <w:gridCol w:w="1140"/>
      </w:tblGrid>
      <w:tr w:rsidR="00A5043A" w:rsidRPr="00A5043A" w:rsidTr="00A5043A">
        <w:trPr>
          <w:trHeight w:val="375"/>
        </w:trPr>
        <w:tc>
          <w:tcPr>
            <w:tcW w:w="2140" w:type="dxa"/>
            <w:noWrap/>
            <w:hideMark/>
          </w:tcPr>
          <w:p w:rsidR="00A5043A" w:rsidRPr="00A5043A" w:rsidRDefault="00A5043A" w:rsidP="00A5043A">
            <w:pPr>
              <w:spacing w:after="120"/>
              <w:rPr>
                <w:b/>
                <w:bCs/>
                <w:sz w:val="20"/>
                <w:szCs w:val="20"/>
                <w:lang w:val="sk-SK"/>
              </w:rPr>
            </w:pPr>
            <w:r w:rsidRPr="00A5043A">
              <w:rPr>
                <w:b/>
                <w:bCs/>
                <w:sz w:val="20"/>
                <w:szCs w:val="20"/>
                <w:lang w:val="sk-SK"/>
              </w:rPr>
              <w:t> </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2007</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2008</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2009</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2010</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2011</w:t>
            </w:r>
          </w:p>
        </w:tc>
        <w:tc>
          <w:tcPr>
            <w:tcW w:w="1140" w:type="dxa"/>
            <w:noWrap/>
            <w:hideMark/>
          </w:tcPr>
          <w:p w:rsidR="00A5043A" w:rsidRPr="00A5043A" w:rsidRDefault="00A5043A" w:rsidP="00A5043A">
            <w:pPr>
              <w:spacing w:after="120"/>
              <w:jc w:val="center"/>
              <w:rPr>
                <w:b/>
                <w:sz w:val="20"/>
                <w:szCs w:val="20"/>
                <w:lang w:val="sk-SK"/>
              </w:rPr>
            </w:pPr>
            <w:r w:rsidRPr="00A5043A">
              <w:rPr>
                <w:b/>
                <w:sz w:val="20"/>
                <w:szCs w:val="20"/>
                <w:lang w:val="sk-SK"/>
              </w:rPr>
              <w:t>2012</w:t>
            </w:r>
          </w:p>
        </w:tc>
      </w:tr>
      <w:tr w:rsidR="00A5043A" w:rsidRPr="00A5043A" w:rsidTr="00A5043A">
        <w:trPr>
          <w:trHeight w:val="375"/>
        </w:trPr>
        <w:tc>
          <w:tcPr>
            <w:tcW w:w="2140" w:type="dxa"/>
            <w:noWrap/>
            <w:hideMark/>
          </w:tcPr>
          <w:p w:rsidR="00A5043A" w:rsidRPr="00A5043A" w:rsidRDefault="00A5043A" w:rsidP="00A5043A">
            <w:pPr>
              <w:spacing w:after="120"/>
              <w:rPr>
                <w:b/>
                <w:bCs/>
                <w:sz w:val="20"/>
                <w:szCs w:val="20"/>
                <w:lang w:val="sk-SK"/>
              </w:rPr>
            </w:pPr>
            <w:r>
              <w:rPr>
                <w:b/>
                <w:bCs/>
                <w:sz w:val="20"/>
                <w:szCs w:val="20"/>
                <w:lang w:val="sk-SK"/>
              </w:rPr>
              <w:t>Poľ. výroba</w:t>
            </w:r>
            <w:r w:rsidRPr="00A5043A">
              <w:rPr>
                <w:b/>
                <w:bCs/>
                <w:sz w:val="20"/>
                <w:szCs w:val="20"/>
                <w:lang w:val="sk-SK"/>
              </w:rPr>
              <w:t xml:space="preserve"> spolu</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2 156,58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2 333,37</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1 740,14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1 761,19</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2 174,87</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2 272,67</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Pr>
                <w:b/>
                <w:bCs/>
                <w:sz w:val="20"/>
                <w:szCs w:val="20"/>
                <w:lang w:val="sk-SK"/>
              </w:rPr>
              <w:t>RV</w:t>
            </w:r>
            <w:r w:rsidRPr="00A5043A">
              <w:rPr>
                <w:b/>
                <w:bCs/>
                <w:sz w:val="20"/>
                <w:szCs w:val="20"/>
                <w:lang w:val="sk-SK"/>
              </w:rPr>
              <w:t xml:space="preserve"> spolu</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1 066,55</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1 150,30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850,59</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867,88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1 202,66</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1 195,79</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sidRPr="00A5043A">
              <w:rPr>
                <w:b/>
                <w:bCs/>
                <w:sz w:val="20"/>
                <w:szCs w:val="20"/>
                <w:lang w:val="sk-SK"/>
              </w:rPr>
              <w:t>v percentách</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49,46</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49,30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48,88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49,28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55,30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52,62</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Pr>
                <w:b/>
                <w:bCs/>
                <w:sz w:val="20"/>
                <w:szCs w:val="20"/>
                <w:lang w:val="sk-SK"/>
              </w:rPr>
              <w:t>ŽV</w:t>
            </w:r>
            <w:r w:rsidRPr="00A5043A">
              <w:rPr>
                <w:b/>
                <w:bCs/>
                <w:sz w:val="20"/>
                <w:szCs w:val="20"/>
                <w:lang w:val="sk-SK"/>
              </w:rPr>
              <w:t xml:space="preserve"> spolu</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997,21</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1 077,24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813,36</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805,17</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876,90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959,27</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sidRPr="00A5043A">
              <w:rPr>
                <w:b/>
                <w:bCs/>
                <w:sz w:val="20"/>
                <w:szCs w:val="20"/>
                <w:lang w:val="sk-SK"/>
              </w:rPr>
              <w:t>v percentách</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46,24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46,16</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46,74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45,72</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40,32</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42,21</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Pr>
                <w:b/>
                <w:bCs/>
                <w:sz w:val="20"/>
                <w:szCs w:val="20"/>
                <w:lang w:val="sk-SK"/>
              </w:rPr>
              <w:t>Ostatná výroba</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92,82</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105,83</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76,19</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88,14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95,31</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117,61</w:t>
            </w:r>
          </w:p>
        </w:tc>
      </w:tr>
      <w:tr w:rsidR="00A5043A" w:rsidRPr="00A5043A" w:rsidTr="00A5043A">
        <w:trPr>
          <w:trHeight w:val="315"/>
        </w:trPr>
        <w:tc>
          <w:tcPr>
            <w:tcW w:w="2140" w:type="dxa"/>
            <w:noWrap/>
            <w:hideMark/>
          </w:tcPr>
          <w:p w:rsidR="00A5043A" w:rsidRPr="00A5043A" w:rsidRDefault="00A5043A" w:rsidP="00A5043A">
            <w:pPr>
              <w:spacing w:after="120"/>
              <w:rPr>
                <w:b/>
                <w:bCs/>
                <w:sz w:val="20"/>
                <w:szCs w:val="20"/>
                <w:lang w:val="sk-SK"/>
              </w:rPr>
            </w:pPr>
            <w:r w:rsidRPr="00A5043A">
              <w:rPr>
                <w:b/>
                <w:bCs/>
                <w:sz w:val="20"/>
                <w:szCs w:val="20"/>
                <w:lang w:val="sk-SK"/>
              </w:rPr>
              <w:t>v percentách</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4,30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4,54</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4,38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5,00</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4,38</w:t>
            </w:r>
          </w:p>
        </w:tc>
        <w:tc>
          <w:tcPr>
            <w:tcW w:w="1140" w:type="dxa"/>
            <w:noWrap/>
            <w:hideMark/>
          </w:tcPr>
          <w:p w:rsidR="00A5043A" w:rsidRPr="00A5043A" w:rsidRDefault="00A5043A" w:rsidP="00A5043A">
            <w:pPr>
              <w:spacing w:after="120"/>
              <w:jc w:val="center"/>
              <w:rPr>
                <w:sz w:val="20"/>
                <w:szCs w:val="20"/>
                <w:lang w:val="sk-SK"/>
              </w:rPr>
            </w:pPr>
            <w:r w:rsidRPr="00A5043A">
              <w:rPr>
                <w:sz w:val="20"/>
                <w:szCs w:val="20"/>
                <w:lang w:val="sk-SK"/>
              </w:rPr>
              <w:t>5,17</w:t>
            </w:r>
          </w:p>
        </w:tc>
      </w:tr>
    </w:tbl>
    <w:p w:rsidR="00A5043A" w:rsidRPr="00A5043A" w:rsidRDefault="00A5043A" w:rsidP="00A5043A">
      <w:pPr>
        <w:spacing w:after="120"/>
        <w:rPr>
          <w:sz w:val="20"/>
          <w:szCs w:val="20"/>
          <w:lang w:val="sk-SK"/>
        </w:rPr>
      </w:pPr>
      <w:r w:rsidRPr="00A5043A">
        <w:rPr>
          <w:sz w:val="20"/>
          <w:szCs w:val="20"/>
          <w:lang w:val="sk-SK"/>
        </w:rPr>
        <w:t>Zdroj : Vlastné spracovanie na základe údajov Štatisti</w:t>
      </w:r>
      <w:r w:rsidR="008613E1">
        <w:rPr>
          <w:sz w:val="20"/>
          <w:szCs w:val="20"/>
          <w:lang w:val="sk-SK"/>
        </w:rPr>
        <w:t>ckého úradu SR</w:t>
      </w:r>
      <w:r w:rsidRPr="00A5043A">
        <w:rPr>
          <w:sz w:val="20"/>
          <w:szCs w:val="20"/>
          <w:lang w:val="sk-SK"/>
        </w:rPr>
        <w:t>. Dostupné na internete : &lt; http://www.statistics.sk/pls/elisw/casovy_Rad.procDlg&gt;.</w:t>
      </w:r>
    </w:p>
    <w:p w:rsidR="00B63B2B" w:rsidRDefault="00B63B2B" w:rsidP="00B63B2B">
      <w:pPr>
        <w:spacing w:after="120"/>
        <w:rPr>
          <w:szCs w:val="24"/>
          <w:lang w:val="sk-SK"/>
        </w:rPr>
      </w:pPr>
      <w:r w:rsidRPr="00B63B2B">
        <w:rPr>
          <w:szCs w:val="24"/>
          <w:lang w:val="sk-SK"/>
        </w:rPr>
        <w:t>Najvyšší pokles v poľnohospodárskej pr</w:t>
      </w:r>
      <w:r>
        <w:rPr>
          <w:szCs w:val="24"/>
          <w:lang w:val="sk-SK"/>
        </w:rPr>
        <w:t xml:space="preserve">odukcii evidujeme v roku 2009, </w:t>
      </w:r>
      <w:r w:rsidRPr="00B63B2B">
        <w:rPr>
          <w:szCs w:val="24"/>
          <w:lang w:val="sk-SK"/>
        </w:rPr>
        <w:t xml:space="preserve">kde je celkový medziročný pokles o takmer 600 mil. €, čo predstavuje viac ako 25 %.  </w:t>
      </w:r>
      <w:r w:rsidR="00D32D55">
        <w:rPr>
          <w:szCs w:val="24"/>
          <w:lang w:val="sk-SK"/>
        </w:rPr>
        <w:t xml:space="preserve">Čiastočne to môžeme pripísať </w:t>
      </w:r>
      <w:r w:rsidRPr="00B63B2B">
        <w:rPr>
          <w:szCs w:val="24"/>
          <w:lang w:val="sk-SK"/>
        </w:rPr>
        <w:t>sv</w:t>
      </w:r>
      <w:r w:rsidR="00D32D55">
        <w:rPr>
          <w:szCs w:val="24"/>
          <w:lang w:val="sk-SK"/>
        </w:rPr>
        <w:t>etovej hospodárskej kríze</w:t>
      </w:r>
      <w:r w:rsidRPr="00B63B2B">
        <w:rPr>
          <w:szCs w:val="24"/>
          <w:lang w:val="sk-SK"/>
        </w:rPr>
        <w:t>, ktorej dopad sa v našich podmienkach prejavil až v období rokov 2009 a</w:t>
      </w:r>
      <w:r w:rsidR="00D32D55">
        <w:rPr>
          <w:szCs w:val="24"/>
          <w:lang w:val="sk-SK"/>
        </w:rPr>
        <w:t> </w:t>
      </w:r>
      <w:r w:rsidRPr="00B63B2B">
        <w:rPr>
          <w:szCs w:val="24"/>
          <w:lang w:val="sk-SK"/>
        </w:rPr>
        <w:t>2010</w:t>
      </w:r>
      <w:r w:rsidR="00D32D55">
        <w:rPr>
          <w:szCs w:val="24"/>
          <w:lang w:val="sk-SK"/>
        </w:rPr>
        <w:t>.</w:t>
      </w:r>
      <w:r w:rsidRPr="00B63B2B">
        <w:rPr>
          <w:szCs w:val="24"/>
          <w:lang w:val="sk-SK"/>
        </w:rPr>
        <w:t xml:space="preserve"> Roky 2011 a 2012 vykazujú postupný nárast sledovaného ukazovateľa, a to v oboch hlavných činnostiach teda v rastlinnej a živočíšnej produkcii. </w:t>
      </w:r>
    </w:p>
    <w:p w:rsidR="009D1192" w:rsidRDefault="00D32D55" w:rsidP="00B63B2B">
      <w:pPr>
        <w:spacing w:after="120"/>
        <w:rPr>
          <w:szCs w:val="24"/>
          <w:lang w:val="sk-SK"/>
        </w:rPr>
      </w:pPr>
      <w:r>
        <w:rPr>
          <w:szCs w:val="24"/>
          <w:lang w:val="sk-SK"/>
        </w:rPr>
        <w:t>Určitý vplyv má aj spoločná poľnohospodárska politika, ktorá prostredníctvom nástrojov motivoval</w:t>
      </w:r>
      <w:r w:rsidR="00A3396E">
        <w:rPr>
          <w:szCs w:val="24"/>
          <w:lang w:val="sk-SK"/>
        </w:rPr>
        <w:t xml:space="preserve">a poľnohospodárov obmedzovať ŽV </w:t>
      </w:r>
      <w:r>
        <w:rPr>
          <w:szCs w:val="24"/>
          <w:lang w:val="sk-SK"/>
        </w:rPr>
        <w:t xml:space="preserve">a rozvíjať RV, hlavne v pestovaní veľkoplošných plodín, ktorých výrobný proces sa dá zvládnuť prostredníctvom mechanizácie a malého počtu ľudí. </w:t>
      </w:r>
      <w:r w:rsidR="009D1192">
        <w:rPr>
          <w:szCs w:val="24"/>
          <w:lang w:val="sk-SK"/>
        </w:rPr>
        <w:t xml:space="preserve">Vidieť to aj na klesajúcom podiele ŽV na celkovej poľnohospodárskej výrobe v sledovaných rokoch. </w:t>
      </w:r>
    </w:p>
    <w:p w:rsidR="00B63B2B" w:rsidRDefault="00D32D55" w:rsidP="00B63B2B">
      <w:pPr>
        <w:spacing w:after="120"/>
        <w:rPr>
          <w:szCs w:val="24"/>
          <w:lang w:val="sk-SK"/>
        </w:rPr>
      </w:pPr>
      <w:r>
        <w:rPr>
          <w:szCs w:val="24"/>
          <w:lang w:val="sk-SK"/>
        </w:rPr>
        <w:t xml:space="preserve"> </w:t>
      </w:r>
      <w:r w:rsidR="00A3396E">
        <w:rPr>
          <w:szCs w:val="24"/>
          <w:lang w:val="sk-SK"/>
        </w:rPr>
        <w:t xml:space="preserve">Ak sa pozrieme na vývoj tržieb, tak môžeme konštatovať zvyšujúcu sa závislosť na externých zdrojoch, teda na podporách. V roku 2007 boli tržby za poľnohospodársku výrobu vo výške 871 Eur na ha pôdy, v roku 2012 to bolo 854,92 Eur na ha pôdy. </w:t>
      </w:r>
    </w:p>
    <w:p w:rsidR="00261278" w:rsidRPr="00261278" w:rsidRDefault="00261278" w:rsidP="00261278">
      <w:pPr>
        <w:spacing w:after="120"/>
        <w:rPr>
          <w:b/>
          <w:sz w:val="22"/>
          <w:lang w:val="sk-SK"/>
        </w:rPr>
      </w:pPr>
      <w:r w:rsidRPr="00261278">
        <w:rPr>
          <w:b/>
          <w:sz w:val="22"/>
          <w:lang w:val="sk-SK"/>
        </w:rPr>
        <w:t>Tabuľka 4: Vývoj priemerného počtu  zamestnancov v rezorte poľnohospodárstva</w:t>
      </w:r>
    </w:p>
    <w:tbl>
      <w:tblPr>
        <w:tblStyle w:val="Mriekatabuky"/>
        <w:tblW w:w="8183" w:type="dxa"/>
        <w:tblLook w:val="04A0" w:firstRow="1" w:lastRow="0" w:firstColumn="1" w:lastColumn="0" w:noHBand="0" w:noVBand="1"/>
      </w:tblPr>
      <w:tblGrid>
        <w:gridCol w:w="3023"/>
        <w:gridCol w:w="860"/>
        <w:gridCol w:w="860"/>
        <w:gridCol w:w="860"/>
        <w:gridCol w:w="860"/>
        <w:gridCol w:w="860"/>
        <w:gridCol w:w="860"/>
      </w:tblGrid>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sidRPr="00261278">
              <w:rPr>
                <w:b/>
                <w:bCs/>
                <w:sz w:val="20"/>
                <w:szCs w:val="20"/>
                <w:lang w:val="sk-SK"/>
              </w:rPr>
              <w:t> </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2002</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2003</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2004</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2010</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2011</w:t>
            </w:r>
          </w:p>
        </w:tc>
        <w:tc>
          <w:tcPr>
            <w:tcW w:w="860" w:type="dxa"/>
            <w:noWrap/>
            <w:hideMark/>
          </w:tcPr>
          <w:p w:rsidR="00261278" w:rsidRPr="00261278" w:rsidRDefault="00261278" w:rsidP="00147198">
            <w:pPr>
              <w:spacing w:after="120"/>
              <w:jc w:val="center"/>
              <w:rPr>
                <w:b/>
                <w:bCs/>
                <w:sz w:val="20"/>
                <w:szCs w:val="20"/>
                <w:lang w:val="sk-SK"/>
              </w:rPr>
            </w:pPr>
            <w:r w:rsidRPr="00261278">
              <w:rPr>
                <w:b/>
                <w:bCs/>
                <w:sz w:val="20"/>
                <w:szCs w:val="20"/>
                <w:lang w:val="sk-SK"/>
              </w:rPr>
              <w:t>2012</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sidRPr="00261278">
              <w:rPr>
                <w:b/>
                <w:bCs/>
                <w:sz w:val="20"/>
                <w:szCs w:val="20"/>
                <w:lang w:val="sk-SK"/>
              </w:rPr>
              <w:t>Trvale činní zamestnanci spolu</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66 727</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58 892</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49 938</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31 685</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29 724</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28 835</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Pr>
                <w:b/>
                <w:bCs/>
                <w:sz w:val="20"/>
                <w:szCs w:val="20"/>
                <w:lang w:val="sk-SK"/>
              </w:rPr>
              <w:t>Zamestnanci RV</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10 830</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9 750</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8 576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5 824</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5 696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5 662</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Pr>
                <w:b/>
                <w:bCs/>
                <w:sz w:val="20"/>
                <w:szCs w:val="20"/>
                <w:lang w:val="sk-SK"/>
              </w:rPr>
              <w:t>Zamestnanci ŽV</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18 996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16 821</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14 033</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8 749</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8 140</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7 975</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Pr>
                <w:b/>
                <w:bCs/>
                <w:sz w:val="20"/>
                <w:szCs w:val="20"/>
                <w:lang w:val="sk-SK"/>
              </w:rPr>
              <w:t>Opravári</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9 138</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7 906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6 897</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4 126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3 705</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3 620</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Pr>
                <w:b/>
                <w:bCs/>
                <w:sz w:val="20"/>
                <w:szCs w:val="20"/>
                <w:lang w:val="sk-SK"/>
              </w:rPr>
              <w:t>Ostatní zamestnanci</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7 977</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6 676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5 266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3 336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3 084</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2 788</w:t>
            </w:r>
          </w:p>
        </w:tc>
      </w:tr>
      <w:tr w:rsidR="00261278" w:rsidRPr="00261278" w:rsidTr="00261278">
        <w:trPr>
          <w:trHeight w:val="315"/>
        </w:trPr>
        <w:tc>
          <w:tcPr>
            <w:tcW w:w="3023" w:type="dxa"/>
            <w:noWrap/>
            <w:hideMark/>
          </w:tcPr>
          <w:p w:rsidR="00261278" w:rsidRPr="00261278" w:rsidRDefault="00261278" w:rsidP="00261278">
            <w:pPr>
              <w:spacing w:after="120"/>
              <w:rPr>
                <w:b/>
                <w:bCs/>
                <w:sz w:val="20"/>
                <w:szCs w:val="20"/>
                <w:lang w:val="sk-SK"/>
              </w:rPr>
            </w:pPr>
            <w:r w:rsidRPr="00261278">
              <w:rPr>
                <w:b/>
                <w:bCs/>
                <w:sz w:val="20"/>
                <w:szCs w:val="20"/>
                <w:lang w:val="sk-SK"/>
              </w:rPr>
              <w:t>Vedúci a admin. zamestnanci</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12 665</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11 636</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10 277</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7 019</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6 615</w:t>
            </w:r>
          </w:p>
        </w:tc>
        <w:tc>
          <w:tcPr>
            <w:tcW w:w="860" w:type="dxa"/>
            <w:noWrap/>
            <w:hideMark/>
          </w:tcPr>
          <w:p w:rsidR="00261278" w:rsidRPr="00261278" w:rsidRDefault="00261278" w:rsidP="00147198">
            <w:pPr>
              <w:spacing w:after="120"/>
              <w:jc w:val="center"/>
              <w:rPr>
                <w:sz w:val="20"/>
                <w:szCs w:val="20"/>
                <w:lang w:val="sk-SK"/>
              </w:rPr>
            </w:pPr>
            <w:r w:rsidRPr="00261278">
              <w:rPr>
                <w:sz w:val="20"/>
                <w:szCs w:val="20"/>
                <w:lang w:val="sk-SK"/>
              </w:rPr>
              <w:t>6 359</w:t>
            </w:r>
          </w:p>
        </w:tc>
      </w:tr>
    </w:tbl>
    <w:p w:rsidR="00261278" w:rsidRPr="00D96A3A" w:rsidRDefault="00261278" w:rsidP="00B63B2B">
      <w:pPr>
        <w:spacing w:after="120"/>
        <w:rPr>
          <w:sz w:val="20"/>
          <w:szCs w:val="20"/>
          <w:lang w:val="sk-SK"/>
        </w:rPr>
      </w:pPr>
      <w:r w:rsidRPr="00261278">
        <w:rPr>
          <w:sz w:val="20"/>
          <w:szCs w:val="20"/>
          <w:lang w:val="sk-SK"/>
        </w:rPr>
        <w:t>Zdroj : Vlastné spracovanie z údajov Štatisti</w:t>
      </w:r>
      <w:r w:rsidR="008613E1">
        <w:rPr>
          <w:sz w:val="20"/>
          <w:szCs w:val="20"/>
          <w:lang w:val="sk-SK"/>
        </w:rPr>
        <w:t>ckého úradu SR</w:t>
      </w:r>
      <w:r w:rsidRPr="00261278">
        <w:rPr>
          <w:sz w:val="20"/>
          <w:szCs w:val="20"/>
          <w:lang w:val="sk-SK"/>
        </w:rPr>
        <w:t>. Dostupné na internete : &lt;http://www.statistics.sk/pls/elisw/casovy_Rad.procDlg&gt;.</w:t>
      </w:r>
    </w:p>
    <w:p w:rsidR="00AE2DF3" w:rsidRDefault="00201ABD" w:rsidP="00FA7CA3">
      <w:pPr>
        <w:spacing w:after="120"/>
        <w:rPr>
          <w:szCs w:val="24"/>
          <w:lang w:val="sk-SK"/>
        </w:rPr>
      </w:pPr>
      <w:r>
        <w:rPr>
          <w:szCs w:val="24"/>
          <w:lang w:val="sk-SK"/>
        </w:rPr>
        <w:t>Z tabuľky 4</w:t>
      </w:r>
      <w:r w:rsidR="00FA7CA3" w:rsidRPr="00FA7CA3">
        <w:rPr>
          <w:szCs w:val="24"/>
          <w:lang w:val="sk-SK"/>
        </w:rPr>
        <w:t xml:space="preserve"> vyplýva, že priemerný počet trvale činných zamestnancov sústavne klesá</w:t>
      </w:r>
      <w:r>
        <w:rPr>
          <w:szCs w:val="24"/>
          <w:lang w:val="sk-SK"/>
        </w:rPr>
        <w:t>, v absolútnom vyjadrení klesol počas sledovaného obdobia o 37 892 osôb.</w:t>
      </w:r>
      <w:r w:rsidR="00FA7CA3">
        <w:rPr>
          <w:szCs w:val="24"/>
          <w:lang w:val="sk-SK"/>
        </w:rPr>
        <w:t xml:space="preserve"> </w:t>
      </w:r>
      <w:r w:rsidR="00FA7CA3" w:rsidRPr="00FA7CA3">
        <w:rPr>
          <w:szCs w:val="24"/>
          <w:lang w:val="sk-SK"/>
        </w:rPr>
        <w:t xml:space="preserve">Kým v roku 2008 predstavoval </w:t>
      </w:r>
      <w:r w:rsidR="00FA7CA3">
        <w:rPr>
          <w:szCs w:val="24"/>
          <w:lang w:val="sk-SK"/>
        </w:rPr>
        <w:t xml:space="preserve">podiel zamestnancov v poľnohospodárstve na </w:t>
      </w:r>
      <w:r w:rsidR="00AE2DF3">
        <w:rPr>
          <w:szCs w:val="24"/>
          <w:lang w:val="sk-SK"/>
        </w:rPr>
        <w:t>celkovom počte zamestnancov</w:t>
      </w:r>
      <w:r w:rsidR="00FA7CA3">
        <w:rPr>
          <w:szCs w:val="24"/>
          <w:lang w:val="sk-SK"/>
        </w:rPr>
        <w:t xml:space="preserve"> v hospodárstve </w:t>
      </w:r>
      <w:r w:rsidR="00FA7CA3" w:rsidRPr="00FA7CA3">
        <w:rPr>
          <w:szCs w:val="24"/>
          <w:lang w:val="sk-SK"/>
        </w:rPr>
        <w:t>3,75 %, v roku 2011 sa prepadol na hodnotu 2,78 %, v roku 2012 došlo k nárastu o 0,4 % a podiel pracujúcich v poľ</w:t>
      </w:r>
      <w:r w:rsidR="00A3741A">
        <w:rPr>
          <w:szCs w:val="24"/>
          <w:lang w:val="sk-SK"/>
        </w:rPr>
        <w:t>nohospodárstve dosiahol</w:t>
      </w:r>
      <w:r w:rsidR="00FA7CA3" w:rsidRPr="00FA7CA3">
        <w:rPr>
          <w:szCs w:val="24"/>
          <w:lang w:val="sk-SK"/>
        </w:rPr>
        <w:t xml:space="preserve"> 3</w:t>
      </w:r>
      <w:r w:rsidR="00A3741A">
        <w:rPr>
          <w:szCs w:val="24"/>
          <w:lang w:val="sk-SK"/>
        </w:rPr>
        <w:t>,18</w:t>
      </w:r>
      <w:r w:rsidR="00FA7CA3" w:rsidRPr="00FA7CA3">
        <w:rPr>
          <w:szCs w:val="24"/>
          <w:lang w:val="sk-SK"/>
        </w:rPr>
        <w:t xml:space="preserve"> %. Za poklesom pracujúcich v rezorte poľnohospodárstva je potre</w:t>
      </w:r>
      <w:r w:rsidR="00AE2DF3">
        <w:rPr>
          <w:szCs w:val="24"/>
          <w:lang w:val="sk-SK"/>
        </w:rPr>
        <w:t>bné vidieť aj množstvo inovácií a nových technológií,</w:t>
      </w:r>
      <w:r w:rsidR="00FA7CA3" w:rsidRPr="00FA7CA3">
        <w:rPr>
          <w:szCs w:val="24"/>
          <w:lang w:val="sk-SK"/>
        </w:rPr>
        <w:t xml:space="preserve"> ktoré sa v posledných </w:t>
      </w:r>
      <w:r w:rsidR="00AE2DF3">
        <w:rPr>
          <w:szCs w:val="24"/>
          <w:lang w:val="sk-SK"/>
        </w:rPr>
        <w:t>rokoch stále viac uplatňujú v poľnohospodárstve.</w:t>
      </w:r>
      <w:r w:rsidR="00851388">
        <w:rPr>
          <w:szCs w:val="24"/>
          <w:lang w:val="sk-SK"/>
        </w:rPr>
        <w:t xml:space="preserve"> Ale aj pôsobenie spoločnej poľnohospodárskej politiky, ktorá </w:t>
      </w:r>
      <w:r w:rsidR="0007042C">
        <w:rPr>
          <w:szCs w:val="24"/>
          <w:lang w:val="sk-SK"/>
        </w:rPr>
        <w:t xml:space="preserve">v SR </w:t>
      </w:r>
      <w:r w:rsidR="00851388">
        <w:rPr>
          <w:szCs w:val="24"/>
          <w:lang w:val="sk-SK"/>
        </w:rPr>
        <w:t xml:space="preserve">motivuje k maximalizácii príjmu z podpôr a obmedzovanie činností, ktoré prinášajú, i keď prechodne, väčšie náklady ako </w:t>
      </w:r>
      <w:r w:rsidR="00851388">
        <w:rPr>
          <w:szCs w:val="24"/>
          <w:lang w:val="sk-SK"/>
        </w:rPr>
        <w:lastRenderedPageBreak/>
        <w:t>výnosy. Verejné zdroje tečúce do poľnohospodárstva nahrádzajú ekonomickú neefektívnosť mnohých činností ich prospešnosťou pre rozvoj vidieka, zamestnanosti</w:t>
      </w:r>
      <w:r w:rsidR="00244A16">
        <w:rPr>
          <w:szCs w:val="24"/>
          <w:lang w:val="sk-SK"/>
        </w:rPr>
        <w:t>, kvality, pestrosti, bezpečnosti</w:t>
      </w:r>
      <w:r w:rsidR="00851388">
        <w:rPr>
          <w:szCs w:val="24"/>
          <w:lang w:val="sk-SK"/>
        </w:rPr>
        <w:t xml:space="preserve"> a tradícií. Poľnohospodár, ktorý poberá podpory</w:t>
      </w:r>
      <w:r w:rsidR="0007042C">
        <w:rPr>
          <w:szCs w:val="24"/>
          <w:lang w:val="sk-SK"/>
        </w:rPr>
        <w:t>, nič nové nevytvára</w:t>
      </w:r>
      <w:r w:rsidR="00A751AC">
        <w:rPr>
          <w:szCs w:val="24"/>
          <w:lang w:val="sk-SK"/>
        </w:rPr>
        <w:t>, nehľadá nové spôsoby vstupu na trh</w:t>
      </w:r>
      <w:r w:rsidR="00851388">
        <w:rPr>
          <w:szCs w:val="24"/>
          <w:lang w:val="sk-SK"/>
        </w:rPr>
        <w:t xml:space="preserve"> a</w:t>
      </w:r>
      <w:r w:rsidR="002A58A1">
        <w:rPr>
          <w:szCs w:val="24"/>
          <w:lang w:val="sk-SK"/>
        </w:rPr>
        <w:t xml:space="preserve"> pri zatváraní prevádzok, </w:t>
      </w:r>
      <w:r w:rsidR="0007042C">
        <w:rPr>
          <w:szCs w:val="24"/>
          <w:lang w:val="sk-SK"/>
        </w:rPr>
        <w:t>rušení aktivít</w:t>
      </w:r>
      <w:r w:rsidR="002A58A1">
        <w:rPr>
          <w:szCs w:val="24"/>
          <w:lang w:val="sk-SK"/>
        </w:rPr>
        <w:t xml:space="preserve"> a obmedzovaní výroby</w:t>
      </w:r>
      <w:r w:rsidR="0007042C">
        <w:rPr>
          <w:szCs w:val="24"/>
          <w:lang w:val="sk-SK"/>
        </w:rPr>
        <w:t xml:space="preserve"> sa</w:t>
      </w:r>
      <w:r w:rsidR="00851388">
        <w:rPr>
          <w:szCs w:val="24"/>
          <w:lang w:val="sk-SK"/>
        </w:rPr>
        <w:t> </w:t>
      </w:r>
      <w:r w:rsidR="0007042C">
        <w:rPr>
          <w:szCs w:val="24"/>
          <w:lang w:val="sk-SK"/>
        </w:rPr>
        <w:t xml:space="preserve">oháňa </w:t>
      </w:r>
      <w:r w:rsidR="00851388">
        <w:rPr>
          <w:szCs w:val="24"/>
          <w:lang w:val="sk-SK"/>
        </w:rPr>
        <w:t xml:space="preserve">ekonomickou racionalitou by mal vyplatené podporné </w:t>
      </w:r>
      <w:r w:rsidR="0007042C">
        <w:rPr>
          <w:szCs w:val="24"/>
          <w:lang w:val="sk-SK"/>
        </w:rPr>
        <w:t xml:space="preserve">finančné </w:t>
      </w:r>
      <w:r w:rsidR="00851388">
        <w:rPr>
          <w:szCs w:val="24"/>
          <w:lang w:val="sk-SK"/>
        </w:rPr>
        <w:t xml:space="preserve">zdroje vrátiť. </w:t>
      </w:r>
    </w:p>
    <w:p w:rsidR="00C72910" w:rsidRPr="00C72910" w:rsidRDefault="00C72910" w:rsidP="00C72910">
      <w:pPr>
        <w:spacing w:after="120"/>
        <w:rPr>
          <w:b/>
          <w:sz w:val="22"/>
          <w:lang w:val="sk-SK"/>
        </w:rPr>
      </w:pPr>
      <w:r w:rsidRPr="00C72910">
        <w:rPr>
          <w:b/>
          <w:sz w:val="22"/>
          <w:lang w:val="sk-SK"/>
        </w:rPr>
        <w:t>Tabuľka 5: Čerpanie prostriedkov SPP za roky 2007 až 2012 v SR v tis. €.</w:t>
      </w:r>
    </w:p>
    <w:tbl>
      <w:tblPr>
        <w:tblStyle w:val="Mriekatabuky"/>
        <w:tblW w:w="9023" w:type="dxa"/>
        <w:tblLook w:val="04A0" w:firstRow="1" w:lastRow="0" w:firstColumn="1" w:lastColumn="0" w:noHBand="0" w:noVBand="1"/>
      </w:tblPr>
      <w:tblGrid>
        <w:gridCol w:w="1727"/>
        <w:gridCol w:w="1216"/>
        <w:gridCol w:w="1216"/>
        <w:gridCol w:w="1216"/>
        <w:gridCol w:w="1216"/>
        <w:gridCol w:w="1216"/>
        <w:gridCol w:w="1216"/>
      </w:tblGrid>
      <w:tr w:rsidR="00C72910" w:rsidRPr="00D53B63" w:rsidTr="00D53B63">
        <w:trPr>
          <w:trHeight w:val="315"/>
        </w:trPr>
        <w:tc>
          <w:tcPr>
            <w:tcW w:w="1727" w:type="dxa"/>
            <w:noWrap/>
            <w:hideMark/>
          </w:tcPr>
          <w:p w:rsidR="00C72910" w:rsidRPr="00D53B63" w:rsidRDefault="00C72910" w:rsidP="00C72910">
            <w:pPr>
              <w:spacing w:after="120"/>
              <w:rPr>
                <w:sz w:val="20"/>
                <w:szCs w:val="20"/>
                <w:lang w:val="sk-SK"/>
              </w:rPr>
            </w:pPr>
            <w:r w:rsidRPr="00D53B63">
              <w:rPr>
                <w:sz w:val="20"/>
                <w:szCs w:val="20"/>
                <w:lang w:val="sk-SK"/>
              </w:rPr>
              <w:t> </w:t>
            </w:r>
          </w:p>
        </w:tc>
        <w:tc>
          <w:tcPr>
            <w:tcW w:w="1216" w:type="dxa"/>
            <w:noWrap/>
            <w:hideMark/>
          </w:tcPr>
          <w:p w:rsidR="00C72910" w:rsidRPr="00D53B63" w:rsidRDefault="00C72910" w:rsidP="00D53B63">
            <w:pPr>
              <w:spacing w:after="120"/>
              <w:jc w:val="center"/>
              <w:rPr>
                <w:b/>
                <w:sz w:val="20"/>
                <w:szCs w:val="20"/>
                <w:lang w:val="sk-SK"/>
              </w:rPr>
            </w:pPr>
            <w:r w:rsidRPr="00D53B63">
              <w:rPr>
                <w:b/>
                <w:sz w:val="20"/>
                <w:szCs w:val="20"/>
                <w:lang w:val="sk-SK"/>
              </w:rPr>
              <w:t>2007</w:t>
            </w:r>
          </w:p>
        </w:tc>
        <w:tc>
          <w:tcPr>
            <w:tcW w:w="1216" w:type="dxa"/>
            <w:noWrap/>
            <w:hideMark/>
          </w:tcPr>
          <w:p w:rsidR="00C72910" w:rsidRPr="00D53B63" w:rsidRDefault="00C72910" w:rsidP="00D53B63">
            <w:pPr>
              <w:spacing w:after="120"/>
              <w:jc w:val="center"/>
              <w:rPr>
                <w:b/>
                <w:sz w:val="20"/>
                <w:szCs w:val="20"/>
                <w:lang w:val="sk-SK"/>
              </w:rPr>
            </w:pPr>
            <w:r w:rsidRPr="00D53B63">
              <w:rPr>
                <w:b/>
                <w:sz w:val="20"/>
                <w:szCs w:val="20"/>
                <w:lang w:val="sk-SK"/>
              </w:rPr>
              <w:t>2008</w:t>
            </w:r>
          </w:p>
        </w:tc>
        <w:tc>
          <w:tcPr>
            <w:tcW w:w="1216" w:type="dxa"/>
            <w:noWrap/>
            <w:hideMark/>
          </w:tcPr>
          <w:p w:rsidR="00C72910" w:rsidRPr="00D53B63" w:rsidRDefault="00C72910" w:rsidP="00D53B63">
            <w:pPr>
              <w:spacing w:after="120"/>
              <w:jc w:val="center"/>
              <w:rPr>
                <w:b/>
                <w:sz w:val="20"/>
                <w:szCs w:val="20"/>
                <w:lang w:val="sk-SK"/>
              </w:rPr>
            </w:pPr>
            <w:r w:rsidRPr="00D53B63">
              <w:rPr>
                <w:b/>
                <w:sz w:val="20"/>
                <w:szCs w:val="20"/>
                <w:lang w:val="sk-SK"/>
              </w:rPr>
              <w:t>2009</w:t>
            </w:r>
          </w:p>
        </w:tc>
        <w:tc>
          <w:tcPr>
            <w:tcW w:w="1216" w:type="dxa"/>
          </w:tcPr>
          <w:p w:rsidR="00C72910" w:rsidRPr="00D53B63" w:rsidRDefault="00C72910" w:rsidP="00D53B63">
            <w:pPr>
              <w:jc w:val="center"/>
              <w:rPr>
                <w:b/>
                <w:color w:val="000000"/>
                <w:sz w:val="20"/>
                <w:szCs w:val="20"/>
              </w:rPr>
            </w:pPr>
            <w:r w:rsidRPr="00D53B63">
              <w:rPr>
                <w:b/>
                <w:color w:val="000000"/>
                <w:sz w:val="20"/>
                <w:szCs w:val="20"/>
              </w:rPr>
              <w:t>2010</w:t>
            </w:r>
          </w:p>
        </w:tc>
        <w:tc>
          <w:tcPr>
            <w:tcW w:w="1216" w:type="dxa"/>
          </w:tcPr>
          <w:p w:rsidR="00C72910" w:rsidRPr="00D53B63" w:rsidRDefault="00C72910" w:rsidP="00D53B63">
            <w:pPr>
              <w:jc w:val="center"/>
              <w:rPr>
                <w:b/>
                <w:color w:val="000000"/>
                <w:sz w:val="20"/>
                <w:szCs w:val="20"/>
              </w:rPr>
            </w:pPr>
            <w:r w:rsidRPr="00D53B63">
              <w:rPr>
                <w:b/>
                <w:color w:val="000000"/>
                <w:sz w:val="20"/>
                <w:szCs w:val="20"/>
              </w:rPr>
              <w:t>2011</w:t>
            </w:r>
          </w:p>
        </w:tc>
        <w:tc>
          <w:tcPr>
            <w:tcW w:w="1216" w:type="dxa"/>
          </w:tcPr>
          <w:p w:rsidR="00C72910" w:rsidRPr="00D53B63" w:rsidRDefault="00C72910" w:rsidP="00D53B63">
            <w:pPr>
              <w:jc w:val="center"/>
              <w:rPr>
                <w:b/>
                <w:color w:val="000000"/>
                <w:sz w:val="20"/>
                <w:szCs w:val="20"/>
              </w:rPr>
            </w:pPr>
            <w:r w:rsidRPr="00D53B63">
              <w:rPr>
                <w:b/>
                <w:color w:val="000000"/>
                <w:sz w:val="20"/>
                <w:szCs w:val="20"/>
              </w:rPr>
              <w:t>2012</w:t>
            </w:r>
          </w:p>
        </w:tc>
      </w:tr>
      <w:tr w:rsidR="00C72910" w:rsidRPr="00D53B63" w:rsidTr="00D53B63">
        <w:trPr>
          <w:trHeight w:val="315"/>
        </w:trPr>
        <w:tc>
          <w:tcPr>
            <w:tcW w:w="1727" w:type="dxa"/>
            <w:noWrap/>
            <w:hideMark/>
          </w:tcPr>
          <w:p w:rsidR="00C72910" w:rsidRPr="00D53B63" w:rsidRDefault="00C72910" w:rsidP="00C72910">
            <w:pPr>
              <w:spacing w:after="120"/>
              <w:rPr>
                <w:b/>
                <w:sz w:val="20"/>
                <w:szCs w:val="20"/>
                <w:lang w:val="sk-SK"/>
              </w:rPr>
            </w:pPr>
            <w:r w:rsidRPr="00D53B63">
              <w:rPr>
                <w:b/>
                <w:sz w:val="20"/>
                <w:szCs w:val="20"/>
                <w:lang w:val="sk-SK"/>
              </w:rPr>
              <w:t>Čerpanie  celkom</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157 556,25</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165 173,10</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220 436,91</w:t>
            </w:r>
          </w:p>
        </w:tc>
        <w:tc>
          <w:tcPr>
            <w:tcW w:w="1216" w:type="dxa"/>
          </w:tcPr>
          <w:p w:rsidR="00C72910" w:rsidRPr="00D53B63" w:rsidRDefault="00C72910" w:rsidP="002B5701">
            <w:pPr>
              <w:jc w:val="center"/>
              <w:rPr>
                <w:color w:val="000000"/>
                <w:sz w:val="20"/>
                <w:szCs w:val="20"/>
              </w:rPr>
            </w:pPr>
            <w:r w:rsidRPr="00D53B63">
              <w:rPr>
                <w:color w:val="000000"/>
                <w:sz w:val="20"/>
                <w:szCs w:val="20"/>
              </w:rPr>
              <w:t>274 198,33</w:t>
            </w:r>
          </w:p>
        </w:tc>
        <w:tc>
          <w:tcPr>
            <w:tcW w:w="1216" w:type="dxa"/>
          </w:tcPr>
          <w:p w:rsidR="00C72910" w:rsidRPr="00D53B63" w:rsidRDefault="00C72910" w:rsidP="002B5701">
            <w:pPr>
              <w:jc w:val="center"/>
              <w:rPr>
                <w:color w:val="000000"/>
                <w:sz w:val="20"/>
                <w:szCs w:val="20"/>
              </w:rPr>
            </w:pPr>
            <w:r w:rsidRPr="00D53B63">
              <w:rPr>
                <w:color w:val="000000"/>
                <w:sz w:val="20"/>
                <w:szCs w:val="20"/>
              </w:rPr>
              <w:t>298 059,13</w:t>
            </w:r>
          </w:p>
        </w:tc>
        <w:tc>
          <w:tcPr>
            <w:tcW w:w="1216" w:type="dxa"/>
          </w:tcPr>
          <w:p w:rsidR="00C72910" w:rsidRPr="00D53B63" w:rsidRDefault="00C72910" w:rsidP="002B5701">
            <w:pPr>
              <w:jc w:val="center"/>
              <w:rPr>
                <w:color w:val="000000"/>
                <w:sz w:val="20"/>
                <w:szCs w:val="20"/>
              </w:rPr>
            </w:pPr>
            <w:r w:rsidRPr="00D53B63">
              <w:rPr>
                <w:color w:val="000000"/>
                <w:sz w:val="20"/>
                <w:szCs w:val="20"/>
              </w:rPr>
              <w:t>328 958,58</w:t>
            </w:r>
          </w:p>
        </w:tc>
      </w:tr>
      <w:tr w:rsidR="00C72910" w:rsidRPr="00D53B63" w:rsidTr="00D53B63">
        <w:trPr>
          <w:trHeight w:val="315"/>
        </w:trPr>
        <w:tc>
          <w:tcPr>
            <w:tcW w:w="1727" w:type="dxa"/>
            <w:noWrap/>
            <w:hideMark/>
          </w:tcPr>
          <w:p w:rsidR="00C72910" w:rsidRPr="00D53B63" w:rsidRDefault="00C72910" w:rsidP="00C72910">
            <w:pPr>
              <w:spacing w:after="120"/>
              <w:rPr>
                <w:b/>
                <w:sz w:val="20"/>
                <w:szCs w:val="20"/>
                <w:lang w:val="sk-SK"/>
              </w:rPr>
            </w:pPr>
            <w:r w:rsidRPr="00D53B63">
              <w:rPr>
                <w:b/>
                <w:sz w:val="20"/>
                <w:szCs w:val="20"/>
                <w:lang w:val="sk-SK"/>
              </w:rPr>
              <w:t>Trhové opatrenia</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23 742,71</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9 147,11</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19 808,20</w:t>
            </w:r>
          </w:p>
        </w:tc>
        <w:tc>
          <w:tcPr>
            <w:tcW w:w="1216" w:type="dxa"/>
          </w:tcPr>
          <w:p w:rsidR="00C72910" w:rsidRPr="00D53B63" w:rsidRDefault="00C72910" w:rsidP="002B5701">
            <w:pPr>
              <w:jc w:val="center"/>
              <w:rPr>
                <w:color w:val="000000"/>
                <w:sz w:val="20"/>
                <w:szCs w:val="20"/>
              </w:rPr>
            </w:pPr>
            <w:r w:rsidRPr="00D53B63">
              <w:rPr>
                <w:color w:val="000000"/>
                <w:sz w:val="20"/>
                <w:szCs w:val="20"/>
              </w:rPr>
              <w:t>28 362,97</w:t>
            </w:r>
          </w:p>
        </w:tc>
        <w:tc>
          <w:tcPr>
            <w:tcW w:w="1216" w:type="dxa"/>
          </w:tcPr>
          <w:p w:rsidR="00C72910" w:rsidRPr="00D53B63" w:rsidRDefault="00C72910" w:rsidP="002B5701">
            <w:pPr>
              <w:jc w:val="center"/>
              <w:rPr>
                <w:color w:val="000000"/>
                <w:sz w:val="20"/>
                <w:szCs w:val="20"/>
              </w:rPr>
            </w:pPr>
            <w:r w:rsidRPr="00D53B63">
              <w:rPr>
                <w:color w:val="000000"/>
                <w:sz w:val="20"/>
                <w:szCs w:val="20"/>
              </w:rPr>
              <w:t>15 000,66</w:t>
            </w:r>
          </w:p>
        </w:tc>
        <w:tc>
          <w:tcPr>
            <w:tcW w:w="1216" w:type="dxa"/>
          </w:tcPr>
          <w:p w:rsidR="00C72910" w:rsidRPr="00D53B63" w:rsidRDefault="00C72910" w:rsidP="002B5701">
            <w:pPr>
              <w:jc w:val="center"/>
              <w:rPr>
                <w:color w:val="000000"/>
                <w:sz w:val="20"/>
                <w:szCs w:val="20"/>
              </w:rPr>
            </w:pPr>
            <w:r w:rsidRPr="00D53B63">
              <w:rPr>
                <w:color w:val="000000"/>
                <w:sz w:val="20"/>
                <w:szCs w:val="20"/>
              </w:rPr>
              <w:t>9 597,98</w:t>
            </w:r>
          </w:p>
        </w:tc>
      </w:tr>
      <w:tr w:rsidR="00C72910" w:rsidRPr="00D53B63" w:rsidTr="00D53B63">
        <w:trPr>
          <w:trHeight w:val="315"/>
        </w:trPr>
        <w:tc>
          <w:tcPr>
            <w:tcW w:w="1727" w:type="dxa"/>
            <w:noWrap/>
            <w:hideMark/>
          </w:tcPr>
          <w:p w:rsidR="00C72910" w:rsidRPr="00D53B63" w:rsidRDefault="00C72910" w:rsidP="00C72910">
            <w:pPr>
              <w:spacing w:after="120"/>
              <w:rPr>
                <w:b/>
                <w:sz w:val="20"/>
                <w:szCs w:val="20"/>
                <w:lang w:val="sk-SK"/>
              </w:rPr>
            </w:pPr>
            <w:r w:rsidRPr="00D53B63">
              <w:rPr>
                <w:b/>
                <w:sz w:val="20"/>
                <w:szCs w:val="20"/>
                <w:lang w:val="sk-SK"/>
              </w:rPr>
              <w:t>Priame podpory</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133 813,54</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156 025,99</w:t>
            </w:r>
          </w:p>
        </w:tc>
        <w:tc>
          <w:tcPr>
            <w:tcW w:w="1216" w:type="dxa"/>
            <w:noWrap/>
            <w:hideMark/>
          </w:tcPr>
          <w:p w:rsidR="00C72910" w:rsidRPr="00D53B63" w:rsidRDefault="00C72910" w:rsidP="002B5701">
            <w:pPr>
              <w:spacing w:after="120"/>
              <w:jc w:val="center"/>
              <w:rPr>
                <w:sz w:val="20"/>
                <w:szCs w:val="20"/>
                <w:lang w:val="sk-SK"/>
              </w:rPr>
            </w:pPr>
            <w:r w:rsidRPr="00D53B63">
              <w:rPr>
                <w:sz w:val="20"/>
                <w:szCs w:val="20"/>
                <w:lang w:val="sk-SK"/>
              </w:rPr>
              <w:t>200 628,71</w:t>
            </w:r>
          </w:p>
        </w:tc>
        <w:tc>
          <w:tcPr>
            <w:tcW w:w="1216" w:type="dxa"/>
          </w:tcPr>
          <w:p w:rsidR="00C72910" w:rsidRPr="00D53B63" w:rsidRDefault="00C72910" w:rsidP="002B5701">
            <w:pPr>
              <w:jc w:val="center"/>
              <w:rPr>
                <w:color w:val="000000"/>
                <w:sz w:val="20"/>
                <w:szCs w:val="20"/>
              </w:rPr>
            </w:pPr>
            <w:r w:rsidRPr="00D53B63">
              <w:rPr>
                <w:color w:val="000000"/>
                <w:sz w:val="20"/>
                <w:szCs w:val="20"/>
              </w:rPr>
              <w:t>245 835,36</w:t>
            </w:r>
          </w:p>
        </w:tc>
        <w:tc>
          <w:tcPr>
            <w:tcW w:w="1216" w:type="dxa"/>
          </w:tcPr>
          <w:p w:rsidR="00C72910" w:rsidRPr="00D53B63" w:rsidRDefault="00C72910" w:rsidP="002B5701">
            <w:pPr>
              <w:jc w:val="center"/>
              <w:rPr>
                <w:color w:val="000000"/>
                <w:sz w:val="20"/>
                <w:szCs w:val="20"/>
              </w:rPr>
            </w:pPr>
            <w:r w:rsidRPr="00D53B63">
              <w:rPr>
                <w:color w:val="000000"/>
                <w:sz w:val="20"/>
                <w:szCs w:val="20"/>
              </w:rPr>
              <w:t>283 058,47</w:t>
            </w:r>
          </w:p>
        </w:tc>
        <w:tc>
          <w:tcPr>
            <w:tcW w:w="1216" w:type="dxa"/>
          </w:tcPr>
          <w:p w:rsidR="00C72910" w:rsidRPr="00D53B63" w:rsidRDefault="00C72910" w:rsidP="002B5701">
            <w:pPr>
              <w:jc w:val="center"/>
              <w:rPr>
                <w:color w:val="000000"/>
                <w:sz w:val="20"/>
                <w:szCs w:val="20"/>
              </w:rPr>
            </w:pPr>
            <w:r w:rsidRPr="00D53B63">
              <w:rPr>
                <w:color w:val="000000"/>
                <w:sz w:val="20"/>
                <w:szCs w:val="20"/>
              </w:rPr>
              <w:t>319 360,60</w:t>
            </w:r>
          </w:p>
        </w:tc>
      </w:tr>
    </w:tbl>
    <w:p w:rsidR="002B5701" w:rsidRDefault="00D53B63" w:rsidP="002B5701">
      <w:pPr>
        <w:spacing w:after="120"/>
        <w:jc w:val="left"/>
        <w:rPr>
          <w:sz w:val="20"/>
          <w:szCs w:val="20"/>
          <w:lang w:val="sk-SK"/>
        </w:rPr>
      </w:pPr>
      <w:r w:rsidRPr="00D53B63">
        <w:rPr>
          <w:sz w:val="20"/>
          <w:szCs w:val="20"/>
          <w:lang w:val="sk-SK"/>
        </w:rPr>
        <w:t xml:space="preserve">Zdroj : Vlastné spracovanie z údajov Ministerstva </w:t>
      </w:r>
      <w:r w:rsidR="007E23AD">
        <w:rPr>
          <w:sz w:val="20"/>
          <w:szCs w:val="20"/>
          <w:lang w:val="sk-SK"/>
        </w:rPr>
        <w:t>pôdohospodárstva a </w:t>
      </w:r>
      <w:r w:rsidRPr="00D53B63">
        <w:rPr>
          <w:sz w:val="20"/>
          <w:szCs w:val="20"/>
          <w:lang w:val="sk-SK"/>
        </w:rPr>
        <w:t>rozvoja</w:t>
      </w:r>
      <w:r w:rsidR="007E23AD">
        <w:rPr>
          <w:sz w:val="20"/>
          <w:szCs w:val="20"/>
          <w:lang w:val="sk-SK"/>
        </w:rPr>
        <w:t xml:space="preserve"> vidieka SR</w:t>
      </w:r>
      <w:r w:rsidRPr="00D53B63">
        <w:rPr>
          <w:sz w:val="20"/>
          <w:szCs w:val="20"/>
          <w:lang w:val="sk-SK"/>
        </w:rPr>
        <w:t>. Dostupné na internete : &lt;http://www.mpsr.sk/sk/index.php?navID=47&amp;sID=17&amp;navID2=802&gt;.</w:t>
      </w:r>
    </w:p>
    <w:p w:rsidR="00D103A7" w:rsidRDefault="00D103A7" w:rsidP="00D103A7">
      <w:pPr>
        <w:spacing w:after="120"/>
        <w:rPr>
          <w:szCs w:val="24"/>
          <w:lang w:val="sk-SK"/>
        </w:rPr>
      </w:pPr>
      <w:r w:rsidRPr="00FA4B19">
        <w:rPr>
          <w:szCs w:val="24"/>
          <w:lang w:val="sk-SK"/>
        </w:rPr>
        <w:t>Střeleček, Lososová (2006)</w:t>
      </w:r>
      <w:r w:rsidRPr="00D103A7">
        <w:rPr>
          <w:b/>
          <w:szCs w:val="24"/>
          <w:lang w:val="sk-SK"/>
        </w:rPr>
        <w:t xml:space="preserve"> </w:t>
      </w:r>
      <w:r w:rsidRPr="00D103A7">
        <w:rPr>
          <w:szCs w:val="24"/>
          <w:lang w:val="sk-SK"/>
        </w:rPr>
        <w:t>poukazujú na to, že cieľom priamych platieb je prosperita poľnohospodárskych podnikov, zabezpečenie primeraných príjmov a dôstojných pracovných a životných podmienok obyvateľov pracujúcic</w:t>
      </w:r>
      <w:r>
        <w:rPr>
          <w:szCs w:val="24"/>
          <w:lang w:val="sk-SK"/>
        </w:rPr>
        <w:t xml:space="preserve">h v poľnohospodárstve, spotreby </w:t>
      </w:r>
      <w:r w:rsidRPr="00D103A7">
        <w:rPr>
          <w:szCs w:val="24"/>
          <w:lang w:val="sk-SK"/>
        </w:rPr>
        <w:t>poľnohospodárskej produkcie mierneho pásma, vyrovnaný pomer medzi dovozom a vývozom produktov poľnohospodárskej výroby, spoluúčasť poľnohospodárstva na zachovaní a rozvoji vidieckeho prostredia.</w:t>
      </w:r>
    </w:p>
    <w:p w:rsidR="00D103A7" w:rsidRDefault="00D103A7" w:rsidP="00D103A7">
      <w:pPr>
        <w:spacing w:after="120"/>
        <w:rPr>
          <w:szCs w:val="24"/>
          <w:lang w:val="sk-SK"/>
        </w:rPr>
      </w:pPr>
      <w:r w:rsidRPr="00FA4B19">
        <w:rPr>
          <w:szCs w:val="24"/>
          <w:lang w:val="sk-SK"/>
        </w:rPr>
        <w:t>Baldwin, Wyplosz (2013)</w:t>
      </w:r>
      <w:r w:rsidRPr="00D103A7">
        <w:rPr>
          <w:b/>
          <w:szCs w:val="24"/>
          <w:lang w:val="sk-SK"/>
        </w:rPr>
        <w:t xml:space="preserve"> </w:t>
      </w:r>
      <w:r w:rsidRPr="00D103A7">
        <w:rPr>
          <w:szCs w:val="24"/>
          <w:lang w:val="sk-SK"/>
        </w:rPr>
        <w:t>poukazujú na to, že problémom SPP je</w:t>
      </w:r>
      <w:r w:rsidR="00843AEF">
        <w:rPr>
          <w:szCs w:val="24"/>
          <w:lang w:val="sk-SK"/>
        </w:rPr>
        <w:t xml:space="preserve">, že veľa peňazí končí inde ako </w:t>
      </w:r>
      <w:r w:rsidRPr="00D103A7">
        <w:rPr>
          <w:szCs w:val="24"/>
          <w:lang w:val="sk-SK"/>
        </w:rPr>
        <w:t>u poľnohospodárov. Štúdia OECD z roku 2003 skúmala skutočných príjemcov reformovanej SPP. Zistila, že mnoho peňazí končí vo vreckách dodávateľov vstupov, ako sú neho</w:t>
      </w:r>
      <w:r>
        <w:rPr>
          <w:szCs w:val="24"/>
          <w:lang w:val="sk-SK"/>
        </w:rPr>
        <w:t>spodáriaci vlastníci pôdy, dodávatelia vstupov a odberatelia výstupov</w:t>
      </w:r>
      <w:r w:rsidRPr="00D103A7">
        <w:rPr>
          <w:szCs w:val="24"/>
          <w:lang w:val="sk-SK"/>
        </w:rPr>
        <w:t>. Pokiaľ ide o priame platby na hektár, jedno euro platby na hektár skončí tak, že má minimálny dopad na príjem domácej poľnohospodárskej práce. Nakoľko sú platby viazané na pôdu, je to samotná cena pôdy, ktorá pohlcuje väčšinu dotácie. To nepredstavuje problém pre poľnohospod</w:t>
      </w:r>
      <w:r>
        <w:rPr>
          <w:szCs w:val="24"/>
          <w:lang w:val="sk-SK"/>
        </w:rPr>
        <w:t>árov, ktorí vlastnia pôdu</w:t>
      </w:r>
      <w:r w:rsidRPr="00D103A7">
        <w:rPr>
          <w:szCs w:val="24"/>
          <w:lang w:val="sk-SK"/>
        </w:rPr>
        <w:t>. Ale asi 40 % poľnohospodársky obhospodarovanej pôdy v EÚ nevlastnia ľudia, ktorí ju obhospod</w:t>
      </w:r>
      <w:r>
        <w:rPr>
          <w:szCs w:val="24"/>
          <w:lang w:val="sk-SK"/>
        </w:rPr>
        <w:t>arujú. Podľa výpočtov OECD asi 55</w:t>
      </w:r>
      <w:r w:rsidRPr="00D103A7">
        <w:rPr>
          <w:szCs w:val="24"/>
          <w:lang w:val="sk-SK"/>
        </w:rPr>
        <w:t xml:space="preserve"> centov z každého eura priame</w:t>
      </w:r>
      <w:r>
        <w:rPr>
          <w:szCs w:val="24"/>
          <w:lang w:val="sk-SK"/>
        </w:rPr>
        <w:t>j</w:t>
      </w:r>
      <w:r w:rsidRPr="00D103A7">
        <w:rPr>
          <w:szCs w:val="24"/>
          <w:lang w:val="sk-SK"/>
        </w:rPr>
        <w:t xml:space="preserve"> </w:t>
      </w:r>
      <w:r>
        <w:rPr>
          <w:szCs w:val="24"/>
          <w:lang w:val="sk-SK"/>
        </w:rPr>
        <w:t xml:space="preserve">platby prináša prospech </w:t>
      </w:r>
      <w:r w:rsidRPr="00D103A7">
        <w:rPr>
          <w:szCs w:val="24"/>
          <w:lang w:val="sk-SK"/>
        </w:rPr>
        <w:t>poľnohospodárom. Ďalšia významn</w:t>
      </w:r>
      <w:r>
        <w:rPr>
          <w:szCs w:val="24"/>
          <w:lang w:val="sk-SK"/>
        </w:rPr>
        <w:t>á politika SPP – podpora trhových opatrení</w:t>
      </w:r>
      <w:r w:rsidRPr="00D103A7">
        <w:rPr>
          <w:szCs w:val="24"/>
          <w:lang w:val="sk-SK"/>
        </w:rPr>
        <w:t xml:space="preserve"> – je na tom ešte horšie. Poľnohospodári dostávajú iba 48 centov na euro, 38 centov ide na náklady reálnych zdrojov a dodávky vstupov. </w:t>
      </w:r>
    </w:p>
    <w:p w:rsidR="00843AEF" w:rsidRDefault="00843AEF" w:rsidP="00D103A7">
      <w:pPr>
        <w:spacing w:after="120"/>
        <w:rPr>
          <w:szCs w:val="24"/>
          <w:lang w:val="sk-SK"/>
        </w:rPr>
      </w:pPr>
      <w:r>
        <w:rPr>
          <w:szCs w:val="24"/>
          <w:lang w:val="sk-SK"/>
        </w:rPr>
        <w:t xml:space="preserve">Ďalším zdrojom financií je druhý pilier – rozvoj vidieka. Na Slovensku bolo kumulatívne k 31.12.2012 na projektové opatrenia vyplatených 1 132 504 445 Eur, na program LEADER bolo kumulatívne k 31.12.2012 vyplatených 20 185 281 Eur a na Operačný program Rybné hospodárstvo kumulatívne k 31.12.2012 sa vyplatilo 13 087 247 Eur. </w:t>
      </w:r>
    </w:p>
    <w:p w:rsidR="00C950B0" w:rsidRDefault="00C950B0" w:rsidP="00805AAC">
      <w:pPr>
        <w:spacing w:after="120"/>
        <w:rPr>
          <w:szCs w:val="24"/>
          <w:lang w:val="sk-SK"/>
        </w:rPr>
      </w:pPr>
      <w:r>
        <w:rPr>
          <w:szCs w:val="24"/>
          <w:lang w:val="sk-SK"/>
        </w:rPr>
        <w:t xml:space="preserve">V rámci opatrení na programové obdobie 2014 – 2020 je aj ozeleňovanie niektorých druhov podpôr v rámci SPP EÚ. </w:t>
      </w:r>
      <w:r w:rsidRPr="00C950B0">
        <w:rPr>
          <w:szCs w:val="24"/>
          <w:lang w:val="sk-SK"/>
        </w:rPr>
        <w:t>Ak chceme splniť budúce potravin</w:t>
      </w:r>
      <w:r>
        <w:rPr>
          <w:szCs w:val="24"/>
          <w:lang w:val="sk-SK"/>
        </w:rPr>
        <w:t>ové požiadavky</w:t>
      </w:r>
      <w:r w:rsidRPr="00C950B0">
        <w:rPr>
          <w:szCs w:val="24"/>
          <w:lang w:val="sk-SK"/>
        </w:rPr>
        <w:t xml:space="preserve">, tak rast v poľnohospodárstve je veľmi dôležitý a nevyhnutný. Rast produkcie potravín </w:t>
      </w:r>
      <w:r>
        <w:rPr>
          <w:szCs w:val="24"/>
          <w:lang w:val="sk-SK"/>
        </w:rPr>
        <w:t xml:space="preserve">sa musí rovnať udržateľnosti. </w:t>
      </w:r>
      <w:r w:rsidRPr="00C950B0">
        <w:rPr>
          <w:szCs w:val="24"/>
          <w:lang w:val="sk-SK"/>
        </w:rPr>
        <w:t xml:space="preserve">Najdôležitejším </w:t>
      </w:r>
      <w:r>
        <w:rPr>
          <w:szCs w:val="24"/>
          <w:lang w:val="sk-SK"/>
        </w:rPr>
        <w:t>cieľom zeleného rastu v poľnohospodárstve</w:t>
      </w:r>
      <w:r w:rsidRPr="00C950B0">
        <w:rPr>
          <w:szCs w:val="24"/>
          <w:lang w:val="sk-SK"/>
        </w:rPr>
        <w:t xml:space="preserve"> je zabezpečiť dostatok potravín pre rastúcu populác</w:t>
      </w:r>
      <w:r>
        <w:rPr>
          <w:szCs w:val="24"/>
          <w:lang w:val="sk-SK"/>
        </w:rPr>
        <w:t xml:space="preserve">iu. Musíme </w:t>
      </w:r>
      <w:r w:rsidRPr="00C950B0">
        <w:rPr>
          <w:szCs w:val="24"/>
          <w:lang w:val="sk-SK"/>
        </w:rPr>
        <w:t>vyrábať</w:t>
      </w:r>
      <w:r>
        <w:rPr>
          <w:szCs w:val="24"/>
          <w:lang w:val="sk-SK"/>
        </w:rPr>
        <w:t xml:space="preserve"> viac</w:t>
      </w:r>
      <w:r w:rsidR="00805AAC">
        <w:rPr>
          <w:szCs w:val="24"/>
          <w:lang w:val="sk-SK"/>
        </w:rPr>
        <w:t xml:space="preserve"> potravín, aj keď dochádza                  k </w:t>
      </w:r>
      <w:r>
        <w:rPr>
          <w:szCs w:val="24"/>
          <w:lang w:val="sk-SK"/>
        </w:rPr>
        <w:t>ú</w:t>
      </w:r>
      <w:r w:rsidRPr="00C950B0">
        <w:rPr>
          <w:szCs w:val="24"/>
          <w:lang w:val="sk-SK"/>
        </w:rPr>
        <w:t>bytku prírodných zdrojov</w:t>
      </w:r>
      <w:r w:rsidR="00805AAC">
        <w:rPr>
          <w:szCs w:val="24"/>
          <w:lang w:val="sk-SK"/>
        </w:rPr>
        <w:t>, aj keď je potrebné znížiť</w:t>
      </w:r>
      <w:r w:rsidRPr="00C950B0">
        <w:rPr>
          <w:szCs w:val="24"/>
          <w:lang w:val="sk-SK"/>
        </w:rPr>
        <w:t xml:space="preserve"> </w:t>
      </w:r>
      <w:r w:rsidR="00805AAC">
        <w:rPr>
          <w:szCs w:val="24"/>
          <w:lang w:val="sk-SK"/>
        </w:rPr>
        <w:t>negatívne vplyvy poľnohospodárstva</w:t>
      </w:r>
      <w:r w:rsidRPr="00C950B0">
        <w:rPr>
          <w:szCs w:val="24"/>
          <w:lang w:val="sk-SK"/>
        </w:rPr>
        <w:t xml:space="preserve"> </w:t>
      </w:r>
      <w:r w:rsidR="00805AAC">
        <w:rPr>
          <w:szCs w:val="24"/>
          <w:lang w:val="sk-SK"/>
        </w:rPr>
        <w:t>na životné prostredie, znížiť uhlíkovú stopu, podporiť</w:t>
      </w:r>
      <w:r w:rsidRPr="00C950B0">
        <w:rPr>
          <w:szCs w:val="24"/>
          <w:lang w:val="sk-SK"/>
        </w:rPr>
        <w:t xml:space="preserve"> envir</w:t>
      </w:r>
      <w:r w:rsidR="00805AAC">
        <w:rPr>
          <w:szCs w:val="24"/>
          <w:lang w:val="sk-SK"/>
        </w:rPr>
        <w:t>onmentálne služ</w:t>
      </w:r>
      <w:r w:rsidRPr="00C950B0">
        <w:rPr>
          <w:szCs w:val="24"/>
          <w:lang w:val="sk-SK"/>
        </w:rPr>
        <w:t>b</w:t>
      </w:r>
      <w:r w:rsidR="00805AAC">
        <w:rPr>
          <w:szCs w:val="24"/>
          <w:lang w:val="sk-SK"/>
        </w:rPr>
        <w:t xml:space="preserve">y, ako napr. </w:t>
      </w:r>
      <w:r w:rsidRPr="00C950B0">
        <w:rPr>
          <w:szCs w:val="24"/>
          <w:lang w:val="sk-SK"/>
        </w:rPr>
        <w:t>protipovodňová ochrana, ochrana biodiverzity</w:t>
      </w:r>
      <w:r w:rsidR="00805AAC">
        <w:rPr>
          <w:szCs w:val="24"/>
          <w:lang w:val="sk-SK"/>
        </w:rPr>
        <w:t>, ochrana pred následkami sucha, atď.</w:t>
      </w:r>
    </w:p>
    <w:p w:rsidR="006F28D5" w:rsidRPr="00517C83" w:rsidRDefault="00517C83" w:rsidP="00517C83">
      <w:pPr>
        <w:spacing w:after="120"/>
        <w:rPr>
          <w:szCs w:val="24"/>
          <w:lang w:val="sk-SK"/>
        </w:rPr>
      </w:pPr>
      <w:r>
        <w:rPr>
          <w:szCs w:val="24"/>
          <w:lang w:val="sk-SK"/>
        </w:rPr>
        <w:t>Rodrik, D. (2001) konštatuje</w:t>
      </w:r>
      <w:r w:rsidR="003F5C5C">
        <w:rPr>
          <w:szCs w:val="24"/>
          <w:lang w:val="sk-SK"/>
        </w:rPr>
        <w:t xml:space="preserve">, že </w:t>
      </w:r>
      <w:r w:rsidRPr="00517C83">
        <w:rPr>
          <w:szCs w:val="24"/>
          <w:lang w:val="sk-SK"/>
        </w:rPr>
        <w:t>podpora zacielená na domácich investorov je oveľa dôležitejším faktorom zlepšeného ekonomického výkonu ako liberalizácia obchodu.</w:t>
      </w:r>
    </w:p>
    <w:p w:rsidR="006F28D5" w:rsidRPr="00C3302B" w:rsidRDefault="006E1E2B" w:rsidP="006F28D5">
      <w:pPr>
        <w:pStyle w:val="Nadpis1"/>
        <w:rPr>
          <w:szCs w:val="24"/>
        </w:rPr>
      </w:pPr>
      <w:r>
        <w:rPr>
          <w:szCs w:val="24"/>
        </w:rPr>
        <w:lastRenderedPageBreak/>
        <w:t>4. Záver</w:t>
      </w:r>
    </w:p>
    <w:p w:rsidR="000957DD" w:rsidRDefault="00517C83" w:rsidP="00FA4B19">
      <w:pPr>
        <w:spacing w:after="120"/>
        <w:rPr>
          <w:szCs w:val="24"/>
          <w:lang w:val="sk-SK"/>
        </w:rPr>
      </w:pPr>
      <w:r>
        <w:rPr>
          <w:szCs w:val="24"/>
          <w:lang w:val="sk-SK"/>
        </w:rPr>
        <w:t xml:space="preserve">Prax ukázala, že mnohé vyjednané podmienky pre agropotravinársky sektor boli nedostatočné, vytrhnuté z reality a dokonca škodlivé pre slovenské poľnohospodárstvo a vidiek, no napriek negatívam, možno povedať, že prijatie SPP EÚ malo pre </w:t>
      </w:r>
      <w:r w:rsidR="00FA4B19" w:rsidRPr="00FA4B19">
        <w:rPr>
          <w:szCs w:val="24"/>
          <w:lang w:val="sk-SK"/>
        </w:rPr>
        <w:t>poľnohospod</w:t>
      </w:r>
      <w:r w:rsidR="00FA4B19">
        <w:rPr>
          <w:szCs w:val="24"/>
          <w:lang w:val="sk-SK"/>
        </w:rPr>
        <w:t xml:space="preserve">árske </w:t>
      </w:r>
      <w:r>
        <w:rPr>
          <w:szCs w:val="24"/>
          <w:lang w:val="sk-SK"/>
        </w:rPr>
        <w:t xml:space="preserve">podniky aj </w:t>
      </w:r>
      <w:r w:rsidR="00FA4B19" w:rsidRPr="00FA4B19">
        <w:rPr>
          <w:szCs w:val="24"/>
          <w:lang w:val="sk-SK"/>
        </w:rPr>
        <w:t xml:space="preserve">priaznivý vplyv, pre mnohé z nich sú </w:t>
      </w:r>
      <w:r w:rsidR="00FA4B19">
        <w:rPr>
          <w:szCs w:val="24"/>
          <w:lang w:val="sk-SK"/>
        </w:rPr>
        <w:t xml:space="preserve">podpory </w:t>
      </w:r>
      <w:r w:rsidR="00FA4B19" w:rsidRPr="00FA4B19">
        <w:rPr>
          <w:szCs w:val="24"/>
          <w:lang w:val="sk-SK"/>
        </w:rPr>
        <w:t>výraznou položkou v ich pr</w:t>
      </w:r>
      <w:r w:rsidR="00C950B0">
        <w:rPr>
          <w:szCs w:val="24"/>
          <w:lang w:val="sk-SK"/>
        </w:rPr>
        <w:t>íjmoch</w:t>
      </w:r>
      <w:r w:rsidR="00233AAE">
        <w:rPr>
          <w:szCs w:val="24"/>
          <w:lang w:val="sk-SK"/>
        </w:rPr>
        <w:t>, čo sa prejavuje v</w:t>
      </w:r>
      <w:r w:rsidR="00BF4E3C">
        <w:rPr>
          <w:szCs w:val="24"/>
          <w:lang w:val="sk-SK"/>
        </w:rPr>
        <w:t> zlepšení ich ekonomickej situácie</w:t>
      </w:r>
      <w:r w:rsidR="00233AAE">
        <w:rPr>
          <w:szCs w:val="24"/>
          <w:lang w:val="sk-SK"/>
        </w:rPr>
        <w:t>.</w:t>
      </w:r>
      <w:r>
        <w:rPr>
          <w:szCs w:val="24"/>
          <w:lang w:val="sk-SK"/>
        </w:rPr>
        <w:t xml:space="preserve"> Je tu </w:t>
      </w:r>
      <w:r w:rsidR="00FA4B19" w:rsidRPr="00FA4B19">
        <w:rPr>
          <w:szCs w:val="24"/>
          <w:lang w:val="sk-SK"/>
        </w:rPr>
        <w:t>pozitívny vp</w:t>
      </w:r>
      <w:r w:rsidR="00FA4B19">
        <w:rPr>
          <w:szCs w:val="24"/>
          <w:lang w:val="sk-SK"/>
        </w:rPr>
        <w:t>lyv na výš</w:t>
      </w:r>
      <w:r>
        <w:rPr>
          <w:szCs w:val="24"/>
          <w:lang w:val="sk-SK"/>
        </w:rPr>
        <w:t>ku investícií</w:t>
      </w:r>
      <w:r w:rsidR="00FA4B19" w:rsidRPr="00FA4B19">
        <w:rPr>
          <w:szCs w:val="24"/>
          <w:lang w:val="sk-SK"/>
        </w:rPr>
        <w:t xml:space="preserve"> do obnovy hnuteľnéh</w:t>
      </w:r>
      <w:r w:rsidR="00FA4B19">
        <w:rPr>
          <w:szCs w:val="24"/>
          <w:lang w:val="sk-SK"/>
        </w:rPr>
        <w:t xml:space="preserve">o aj nehnuteľného majetku, podpory sú zárukou aj pre bankové spoločnosti, pre ktoré sa stal poľnohospodár </w:t>
      </w:r>
      <w:r w:rsidR="00BF4E3C">
        <w:rPr>
          <w:szCs w:val="24"/>
          <w:lang w:val="sk-SK"/>
        </w:rPr>
        <w:t xml:space="preserve">bonitným </w:t>
      </w:r>
      <w:r w:rsidR="00FA4B19">
        <w:rPr>
          <w:szCs w:val="24"/>
          <w:lang w:val="sk-SK"/>
        </w:rPr>
        <w:t>partnerom.</w:t>
      </w:r>
      <w:r w:rsidR="00136607">
        <w:rPr>
          <w:szCs w:val="24"/>
          <w:lang w:val="sk-SK"/>
        </w:rPr>
        <w:t xml:space="preserve"> </w:t>
      </w:r>
      <w:r w:rsidR="000957DD">
        <w:rPr>
          <w:szCs w:val="24"/>
          <w:lang w:val="sk-SK"/>
        </w:rPr>
        <w:t xml:space="preserve">Rozšíril sa trh, odstránili sa prekážky obchodu a zvýšila sa ochrana pred dovozmi z tretích krajín, zvýšila sa produktivita práce, ale zároveň prišlo k výraznej redukcii pracovných síl. Vytvorili sa predpoklady na rozvoj vidieka, na zvýšenie kvality a bezpečnosti agropotravín, do popredia sa dostala ochrana životného prostredia. </w:t>
      </w:r>
    </w:p>
    <w:p w:rsidR="00C950B0" w:rsidRDefault="000957DD" w:rsidP="00FA4B19">
      <w:pPr>
        <w:spacing w:after="120"/>
        <w:rPr>
          <w:szCs w:val="24"/>
          <w:lang w:val="sk-SK"/>
        </w:rPr>
      </w:pPr>
      <w:r>
        <w:rPr>
          <w:szCs w:val="24"/>
          <w:lang w:val="sk-SK"/>
        </w:rPr>
        <w:t>Medzi negatíva</w:t>
      </w:r>
      <w:r w:rsidR="00723A95">
        <w:rPr>
          <w:szCs w:val="24"/>
          <w:lang w:val="sk-SK"/>
        </w:rPr>
        <w:t>, okrem už spomínaných pracovných síl,</w:t>
      </w:r>
      <w:r>
        <w:rPr>
          <w:szCs w:val="24"/>
          <w:lang w:val="sk-SK"/>
        </w:rPr>
        <w:t xml:space="preserve"> možno zaradiť rozdielnu úroveň </w:t>
      </w:r>
      <w:r w:rsidR="00723A95">
        <w:rPr>
          <w:szCs w:val="24"/>
          <w:lang w:val="sk-SK"/>
        </w:rPr>
        <w:t xml:space="preserve">podpôr medzi starými a novými členskými krajinami, výrazný nárast dovozu agropotravín, na ktorých výrobu máme vhodné podmienky a liberálne podmienky pre uchádzanie sa o podporu. </w:t>
      </w:r>
      <w:r w:rsidR="00252F14">
        <w:rPr>
          <w:szCs w:val="24"/>
          <w:lang w:val="sk-SK"/>
        </w:rPr>
        <w:t>Výzva pre budúce obdobie bude podpora špeciálnej rastlinnej výroby, živočíšnej výroby, zamestnanosti a rozvoja vidieckych oblastí.</w:t>
      </w:r>
      <w:r>
        <w:rPr>
          <w:szCs w:val="24"/>
          <w:lang w:val="sk-SK"/>
        </w:rPr>
        <w:t xml:space="preserve">  </w:t>
      </w:r>
    </w:p>
    <w:p w:rsidR="001720F9" w:rsidRPr="00252F14" w:rsidRDefault="001720F9" w:rsidP="003D0AB4">
      <w:pPr>
        <w:rPr>
          <w:b/>
          <w:i/>
          <w:szCs w:val="24"/>
          <w:lang w:val="sk-SK"/>
        </w:rPr>
      </w:pPr>
    </w:p>
    <w:p w:rsidR="003D0AB4" w:rsidRPr="00C3302B" w:rsidRDefault="00237A97" w:rsidP="00B417C7">
      <w:pPr>
        <w:spacing w:after="120"/>
        <w:rPr>
          <w:b/>
          <w:i/>
          <w:szCs w:val="24"/>
          <w:lang w:val="en-GB"/>
        </w:rPr>
      </w:pPr>
      <w:r w:rsidRPr="00252F14">
        <w:rPr>
          <w:b/>
          <w:i/>
          <w:szCs w:val="24"/>
          <w:lang w:val="sk-SK"/>
        </w:rPr>
        <w:t>Poďakovanie</w:t>
      </w:r>
    </w:p>
    <w:p w:rsidR="00902C3C" w:rsidRPr="007F20AE" w:rsidRDefault="00902C3C" w:rsidP="00B417C7">
      <w:pPr>
        <w:pStyle w:val="Zkladntext"/>
        <w:spacing w:before="0" w:after="120"/>
        <w:rPr>
          <w:i/>
          <w:sz w:val="24"/>
          <w:lang w:val="en-GB"/>
        </w:rPr>
      </w:pPr>
      <w:r w:rsidRPr="00C3302B">
        <w:rPr>
          <w:sz w:val="24"/>
          <w:lang w:val="en-GB"/>
        </w:rPr>
        <w:t>T</w:t>
      </w:r>
      <w:r w:rsidR="00237A97">
        <w:rPr>
          <w:sz w:val="24"/>
          <w:lang w:val="en-GB"/>
        </w:rPr>
        <w:t xml:space="preserve">ento článok bol </w:t>
      </w:r>
      <w:r w:rsidR="001425F1">
        <w:rPr>
          <w:sz w:val="24"/>
          <w:lang w:val="en-GB"/>
        </w:rPr>
        <w:t>vytvorený v rámci projektu VEGA</w:t>
      </w:r>
      <w:r w:rsidR="007F20AE">
        <w:rPr>
          <w:sz w:val="24"/>
          <w:lang w:val="en-GB"/>
        </w:rPr>
        <w:t xml:space="preserve"> </w:t>
      </w:r>
      <w:r w:rsidR="001425F1" w:rsidRPr="007F20AE">
        <w:rPr>
          <w:i/>
          <w:sz w:val="24"/>
          <w:lang w:val="en-GB"/>
        </w:rPr>
        <w:t>Potenciál slovenského poľnohospodárstva v kontexte zelenej ekonomiky</w:t>
      </w:r>
      <w:r w:rsidR="007F20AE">
        <w:rPr>
          <w:i/>
          <w:sz w:val="24"/>
          <w:lang w:val="en-GB"/>
        </w:rPr>
        <w:t xml:space="preserve">. </w:t>
      </w:r>
      <w:r w:rsidR="00237A97">
        <w:rPr>
          <w:sz w:val="24"/>
          <w:lang w:val="en-GB"/>
        </w:rPr>
        <w:t>Registračné číslo projektu</w:t>
      </w:r>
      <w:r w:rsidR="007F20AE">
        <w:rPr>
          <w:sz w:val="24"/>
          <w:lang w:val="en-GB"/>
        </w:rPr>
        <w:t xml:space="preserve"> je</w:t>
      </w:r>
      <w:r w:rsidR="00237A97">
        <w:rPr>
          <w:sz w:val="24"/>
          <w:lang w:val="en-GB"/>
        </w:rPr>
        <w:t xml:space="preserve"> </w:t>
      </w:r>
      <w:r w:rsidR="007F20AE">
        <w:rPr>
          <w:sz w:val="24"/>
          <w:lang w:val="en-GB"/>
        </w:rPr>
        <w:t>1</w:t>
      </w:r>
      <w:r w:rsidRPr="00C3302B">
        <w:rPr>
          <w:sz w:val="24"/>
          <w:lang w:val="en-GB"/>
        </w:rPr>
        <w:t>/08</w:t>
      </w:r>
      <w:r w:rsidR="007F20AE">
        <w:rPr>
          <w:sz w:val="24"/>
          <w:lang w:val="en-GB"/>
        </w:rPr>
        <w:t>67/13</w:t>
      </w:r>
      <w:r w:rsidRPr="00C3302B">
        <w:rPr>
          <w:sz w:val="24"/>
          <w:lang w:val="en-GB"/>
        </w:rPr>
        <w:t>.</w:t>
      </w:r>
    </w:p>
    <w:p w:rsidR="00C3302B" w:rsidRDefault="00C3302B" w:rsidP="006F28D5">
      <w:pPr>
        <w:rPr>
          <w:b/>
          <w:i/>
          <w:szCs w:val="24"/>
          <w:lang w:val="en-GB"/>
        </w:rPr>
      </w:pPr>
    </w:p>
    <w:p w:rsidR="00C3302B" w:rsidRPr="00CD0AA4" w:rsidRDefault="000454AB" w:rsidP="00CD0AA4">
      <w:pPr>
        <w:spacing w:after="120"/>
        <w:rPr>
          <w:b/>
          <w:i/>
          <w:szCs w:val="24"/>
          <w:lang w:val="en-GB"/>
        </w:rPr>
      </w:pPr>
      <w:r>
        <w:rPr>
          <w:b/>
          <w:i/>
          <w:szCs w:val="24"/>
          <w:lang w:val="en-GB"/>
        </w:rPr>
        <w:t>Literatúra</w:t>
      </w:r>
    </w:p>
    <w:p w:rsidR="007D3E18" w:rsidRDefault="007D3E18" w:rsidP="007D3E18">
      <w:pPr>
        <w:numPr>
          <w:ilvl w:val="0"/>
          <w:numId w:val="13"/>
        </w:numPr>
        <w:rPr>
          <w:sz w:val="20"/>
          <w:szCs w:val="20"/>
          <w:lang w:eastAsia="sk-SK"/>
        </w:rPr>
      </w:pPr>
      <w:r>
        <w:rPr>
          <w:sz w:val="20"/>
          <w:szCs w:val="20"/>
          <w:lang w:eastAsia="sk-SK"/>
        </w:rPr>
        <w:t>Baldwin, R., &amp; Wyplocz</w:t>
      </w:r>
      <w:r w:rsidRPr="007D3E18">
        <w:rPr>
          <w:sz w:val="20"/>
          <w:szCs w:val="20"/>
          <w:lang w:eastAsia="sk-SK"/>
        </w:rPr>
        <w:t xml:space="preserve">, Ch. </w:t>
      </w:r>
      <w:r>
        <w:rPr>
          <w:sz w:val="20"/>
          <w:szCs w:val="20"/>
          <w:lang w:val="sk-SK" w:eastAsia="sk-SK"/>
        </w:rPr>
        <w:t>(</w:t>
      </w:r>
      <w:r w:rsidRPr="007D3E18">
        <w:rPr>
          <w:sz w:val="20"/>
          <w:szCs w:val="20"/>
          <w:lang w:eastAsia="sk-SK"/>
        </w:rPr>
        <w:t>2013</w:t>
      </w:r>
      <w:r>
        <w:rPr>
          <w:sz w:val="20"/>
          <w:szCs w:val="20"/>
          <w:lang w:eastAsia="sk-SK"/>
        </w:rPr>
        <w:t>)</w:t>
      </w:r>
      <w:r w:rsidRPr="007D3E18">
        <w:rPr>
          <w:sz w:val="20"/>
          <w:szCs w:val="20"/>
          <w:lang w:eastAsia="sk-SK"/>
        </w:rPr>
        <w:t xml:space="preserve"> Ekonomie evropské integrace – 4. Vydání. Praha:</w:t>
      </w:r>
      <w:r>
        <w:rPr>
          <w:sz w:val="20"/>
          <w:szCs w:val="20"/>
          <w:lang w:eastAsia="sk-SK"/>
        </w:rPr>
        <w:t xml:space="preserve"> Grada Publishing, a. s.,</w:t>
      </w:r>
      <w:r w:rsidRPr="007D3E18">
        <w:rPr>
          <w:sz w:val="20"/>
          <w:szCs w:val="20"/>
          <w:lang w:eastAsia="sk-SK"/>
        </w:rPr>
        <w:t>ISBN 978-80-247-4568-8.</w:t>
      </w:r>
    </w:p>
    <w:p w:rsidR="00EA338F" w:rsidRPr="00EA338F" w:rsidRDefault="00EA338F" w:rsidP="00EA338F">
      <w:pPr>
        <w:pStyle w:val="Odsekzoznamu"/>
        <w:numPr>
          <w:ilvl w:val="0"/>
          <w:numId w:val="13"/>
        </w:numPr>
        <w:rPr>
          <w:sz w:val="20"/>
          <w:szCs w:val="20"/>
          <w:lang w:eastAsia="sk-SK"/>
        </w:rPr>
      </w:pPr>
      <w:r w:rsidRPr="00EA338F">
        <w:rPr>
          <w:sz w:val="20"/>
          <w:szCs w:val="20"/>
          <w:lang w:eastAsia="sk-SK"/>
        </w:rPr>
        <w:t xml:space="preserve">Nákladovosť poľnohospodárskych výrobkov v SR za rok 2007 a 2012. VÚEPP Bratislava. Dostupné na &lt; </w:t>
      </w:r>
      <w:hyperlink r:id="rId7" w:history="1">
        <w:r w:rsidRPr="0096080A">
          <w:rPr>
            <w:rStyle w:val="Hypertextovprepojenie"/>
            <w:sz w:val="20"/>
            <w:szCs w:val="20"/>
            <w:lang w:eastAsia="sk-SK"/>
          </w:rPr>
          <w:t>http://www.vuepp.sk/dokumenty/vn/vn2007.pdf</w:t>
        </w:r>
      </w:hyperlink>
      <w:r>
        <w:rPr>
          <w:sz w:val="20"/>
          <w:szCs w:val="20"/>
          <w:lang w:eastAsia="sk-SK"/>
        </w:rPr>
        <w:t xml:space="preserve"> </w:t>
      </w:r>
      <w:r w:rsidRPr="00EA338F">
        <w:rPr>
          <w:sz w:val="20"/>
          <w:szCs w:val="20"/>
          <w:lang w:eastAsia="sk-SK"/>
        </w:rPr>
        <w:t xml:space="preserve"> a </w:t>
      </w:r>
      <w:hyperlink r:id="rId8" w:history="1">
        <w:r w:rsidRPr="0096080A">
          <w:rPr>
            <w:rStyle w:val="Hypertextovprepojenie"/>
            <w:sz w:val="20"/>
            <w:szCs w:val="20"/>
            <w:lang w:eastAsia="sk-SK"/>
          </w:rPr>
          <w:t>http://www.vuepp.sk/dokumenty/vn/vn2012.pdf</w:t>
        </w:r>
      </w:hyperlink>
      <w:r w:rsidRPr="00EA338F">
        <w:rPr>
          <w:sz w:val="20"/>
          <w:szCs w:val="20"/>
          <w:lang w:eastAsia="sk-SK"/>
        </w:rPr>
        <w:t xml:space="preserve"> &gt;</w:t>
      </w:r>
    </w:p>
    <w:p w:rsidR="00EF53CA" w:rsidRDefault="006F7730" w:rsidP="006F7730">
      <w:pPr>
        <w:numPr>
          <w:ilvl w:val="0"/>
          <w:numId w:val="13"/>
        </w:numPr>
        <w:rPr>
          <w:sz w:val="20"/>
          <w:szCs w:val="20"/>
          <w:lang w:eastAsia="sk-SK"/>
        </w:rPr>
      </w:pPr>
      <w:r>
        <w:rPr>
          <w:sz w:val="20"/>
          <w:szCs w:val="20"/>
          <w:lang w:eastAsia="sk-SK"/>
        </w:rPr>
        <w:t>Rais, J., &amp; Reguli, M., &amp; Ivanská, B. (2014) Vybrané regulácie EÚ a ich dopady. Nadácia F.A. Hayeka. Dostupné na &lt;</w:t>
      </w:r>
      <w:r w:rsidRPr="006F7730">
        <w:t xml:space="preserve"> </w:t>
      </w:r>
      <w:hyperlink r:id="rId9" w:history="1">
        <w:r w:rsidRPr="0096080A">
          <w:rPr>
            <w:rStyle w:val="Hypertextovprepojenie"/>
            <w:sz w:val="20"/>
            <w:szCs w:val="20"/>
            <w:lang w:eastAsia="sk-SK"/>
          </w:rPr>
          <w:t>http://www.hayek.sk/vybrane-regulacie-eu-a-ich-dopady</w:t>
        </w:r>
      </w:hyperlink>
      <w:r>
        <w:rPr>
          <w:sz w:val="20"/>
          <w:szCs w:val="20"/>
          <w:lang w:eastAsia="sk-SK"/>
        </w:rPr>
        <w:t>&gt;</w:t>
      </w:r>
    </w:p>
    <w:p w:rsidR="00341F4E" w:rsidRPr="00EA338F" w:rsidRDefault="00341F4E" w:rsidP="00EA338F">
      <w:pPr>
        <w:pStyle w:val="Odsekzoznamu"/>
        <w:numPr>
          <w:ilvl w:val="0"/>
          <w:numId w:val="13"/>
        </w:numPr>
        <w:rPr>
          <w:sz w:val="20"/>
          <w:szCs w:val="20"/>
          <w:lang w:eastAsia="sk-SK"/>
        </w:rPr>
      </w:pPr>
      <w:r>
        <w:rPr>
          <w:sz w:val="20"/>
          <w:szCs w:val="20"/>
          <w:lang w:eastAsia="sk-SK"/>
        </w:rPr>
        <w:t>Rodrik</w:t>
      </w:r>
      <w:r w:rsidRPr="00341F4E">
        <w:rPr>
          <w:sz w:val="20"/>
          <w:szCs w:val="20"/>
          <w:lang w:eastAsia="sk-SK"/>
        </w:rPr>
        <w:t>, D. (2001) The Global Governance of Trade as if Development Really Mattered. Harvardská un</w:t>
      </w:r>
      <w:r w:rsidR="00EA338F">
        <w:rPr>
          <w:sz w:val="20"/>
          <w:szCs w:val="20"/>
          <w:lang w:eastAsia="sk-SK"/>
        </w:rPr>
        <w:t xml:space="preserve">iverzita. Dostupné na </w:t>
      </w:r>
      <w:r w:rsidRPr="00EA338F">
        <w:rPr>
          <w:sz w:val="20"/>
          <w:szCs w:val="20"/>
          <w:lang w:eastAsia="sk-SK"/>
        </w:rPr>
        <w:t xml:space="preserve">&lt; </w:t>
      </w:r>
      <w:hyperlink r:id="rId10" w:history="1">
        <w:r w:rsidRPr="00EA338F">
          <w:rPr>
            <w:rStyle w:val="Hypertextovprepojenie"/>
            <w:sz w:val="20"/>
            <w:szCs w:val="20"/>
            <w:lang w:eastAsia="sk-SK"/>
          </w:rPr>
          <w:t>https://www.mtholyoke.edu/courses/epaus/econ213/rodrikgovernance.PDF</w:t>
        </w:r>
      </w:hyperlink>
      <w:r w:rsidRPr="00EA338F">
        <w:rPr>
          <w:sz w:val="20"/>
          <w:szCs w:val="20"/>
          <w:lang w:eastAsia="sk-SK"/>
        </w:rPr>
        <w:t xml:space="preserve"> &gt;  </w:t>
      </w:r>
    </w:p>
    <w:p w:rsidR="00341F4E" w:rsidRDefault="00341F4E" w:rsidP="00341F4E">
      <w:pPr>
        <w:numPr>
          <w:ilvl w:val="0"/>
          <w:numId w:val="13"/>
        </w:numPr>
        <w:rPr>
          <w:sz w:val="20"/>
          <w:szCs w:val="20"/>
          <w:lang w:eastAsia="sk-SK"/>
        </w:rPr>
      </w:pPr>
      <w:r>
        <w:rPr>
          <w:sz w:val="20"/>
          <w:szCs w:val="20"/>
          <w:lang w:eastAsia="sk-SK"/>
        </w:rPr>
        <w:t>Střeleček, F., &amp; Lososová</w:t>
      </w:r>
      <w:r w:rsidRPr="00341F4E">
        <w:rPr>
          <w:sz w:val="20"/>
          <w:szCs w:val="20"/>
          <w:lang w:eastAsia="sk-SK"/>
        </w:rPr>
        <w:t xml:space="preserve">, J. </w:t>
      </w:r>
      <w:r>
        <w:rPr>
          <w:sz w:val="20"/>
          <w:szCs w:val="20"/>
          <w:lang w:eastAsia="sk-SK"/>
        </w:rPr>
        <w:t>(</w:t>
      </w:r>
      <w:r w:rsidRPr="00341F4E">
        <w:rPr>
          <w:sz w:val="20"/>
          <w:szCs w:val="20"/>
          <w:lang w:eastAsia="sk-SK"/>
        </w:rPr>
        <w:t>2006</w:t>
      </w:r>
      <w:r>
        <w:rPr>
          <w:sz w:val="20"/>
          <w:szCs w:val="20"/>
          <w:lang w:eastAsia="sk-SK"/>
        </w:rPr>
        <w:t>)</w:t>
      </w:r>
      <w:r w:rsidRPr="00341F4E">
        <w:rPr>
          <w:sz w:val="20"/>
          <w:szCs w:val="20"/>
          <w:lang w:eastAsia="sk-SK"/>
        </w:rPr>
        <w:t xml:space="preserve"> Vliv národní a evropské agrární politiky na ekonomickou situaci zemědělských podniků. In: Collection o Scientific Papers, Faculty of Agriculture in České Budějovice. České Budějovice: Jihočeská uniľverzita v Českých Budějovicích, 2006. ISSN 1212-5598.</w:t>
      </w:r>
    </w:p>
    <w:p w:rsidR="003A0722" w:rsidRPr="00EA338F" w:rsidRDefault="003A0722" w:rsidP="00EA338F">
      <w:pPr>
        <w:numPr>
          <w:ilvl w:val="0"/>
          <w:numId w:val="13"/>
        </w:numPr>
        <w:rPr>
          <w:sz w:val="20"/>
          <w:szCs w:val="20"/>
          <w:lang w:eastAsia="sk-SK"/>
        </w:rPr>
      </w:pPr>
      <w:r>
        <w:rPr>
          <w:sz w:val="20"/>
          <w:szCs w:val="20"/>
          <w:lang w:val="sk-SK" w:eastAsia="sk-SK"/>
        </w:rPr>
        <w:t xml:space="preserve">Výročná správa PPA za rok 2012. Bratislava 2013. Dostupné na                                                                 </w:t>
      </w:r>
      <w:r>
        <w:rPr>
          <w:sz w:val="20"/>
          <w:szCs w:val="20"/>
          <w:lang w:eastAsia="sk-SK"/>
        </w:rPr>
        <w:t>&lt;</w:t>
      </w:r>
      <w:r w:rsidRPr="003A0722">
        <w:t xml:space="preserve"> </w:t>
      </w:r>
      <w:hyperlink r:id="rId11" w:history="1">
        <w:r w:rsidRPr="0096080A">
          <w:rPr>
            <w:rStyle w:val="Hypertextovprepojenie"/>
            <w:sz w:val="20"/>
            <w:szCs w:val="20"/>
            <w:lang w:eastAsia="sk-SK"/>
          </w:rPr>
          <w:t>http://www.apa.sk/index.php?navID=18</w:t>
        </w:r>
      </w:hyperlink>
      <w:r>
        <w:rPr>
          <w:sz w:val="20"/>
          <w:szCs w:val="20"/>
          <w:lang w:eastAsia="sk-SK"/>
        </w:rPr>
        <w:t xml:space="preserve"> &gt;</w:t>
      </w:r>
    </w:p>
    <w:p w:rsidR="001720F9" w:rsidRPr="00C3302B" w:rsidRDefault="001720F9" w:rsidP="00632ACE">
      <w:pPr>
        <w:rPr>
          <w:b/>
          <w:i/>
          <w:szCs w:val="24"/>
          <w:lang w:val="en-GB"/>
        </w:rPr>
      </w:pPr>
    </w:p>
    <w:sectPr w:rsidR="001720F9" w:rsidRPr="00C3302B" w:rsidSect="00C3302B">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519"/>
    <w:multiLevelType w:val="hybridMultilevel"/>
    <w:tmpl w:val="1F488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481A13"/>
    <w:multiLevelType w:val="hybridMultilevel"/>
    <w:tmpl w:val="BD144B4C"/>
    <w:lvl w:ilvl="0" w:tplc="6FB61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F7962"/>
    <w:multiLevelType w:val="hybridMultilevel"/>
    <w:tmpl w:val="06DEB166"/>
    <w:lvl w:ilvl="0" w:tplc="375651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292961"/>
    <w:multiLevelType w:val="hybridMultilevel"/>
    <w:tmpl w:val="2C922B4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19F213A8"/>
    <w:multiLevelType w:val="hybridMultilevel"/>
    <w:tmpl w:val="BD144B4C"/>
    <w:lvl w:ilvl="0" w:tplc="6FB61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770170"/>
    <w:multiLevelType w:val="hybridMultilevel"/>
    <w:tmpl w:val="C36CB0C6"/>
    <w:lvl w:ilvl="0" w:tplc="176605B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E04500"/>
    <w:multiLevelType w:val="hybridMultilevel"/>
    <w:tmpl w:val="ACEA3F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296AD9"/>
    <w:multiLevelType w:val="hybridMultilevel"/>
    <w:tmpl w:val="F1C4884A"/>
    <w:lvl w:ilvl="0" w:tplc="D31ED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26D734B8"/>
    <w:multiLevelType w:val="hybridMultilevel"/>
    <w:tmpl w:val="8D269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07424C"/>
    <w:multiLevelType w:val="hybridMultilevel"/>
    <w:tmpl w:val="4642E7AE"/>
    <w:lvl w:ilvl="0" w:tplc="5052C266">
      <w:start w:val="1"/>
      <w:numFmt w:val="decimal"/>
      <w:pStyle w:val="Zoznamcitci"/>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081F2E"/>
    <w:multiLevelType w:val="hybridMultilevel"/>
    <w:tmpl w:val="D348F0EC"/>
    <w:lvl w:ilvl="0" w:tplc="FACE58D2">
      <w:start w:val="1"/>
      <w:numFmt w:val="decimal"/>
      <w:lvlText w:val="%1."/>
      <w:lvlJc w:val="left"/>
      <w:pPr>
        <w:ind w:left="720" w:hanging="360"/>
      </w:pPr>
      <w:rPr>
        <w:rFonts w:hint="default"/>
      </w:rPr>
    </w:lvl>
    <w:lvl w:ilvl="1" w:tplc="E6364C5E" w:tentative="1">
      <w:start w:val="1"/>
      <w:numFmt w:val="lowerLetter"/>
      <w:lvlText w:val="%2."/>
      <w:lvlJc w:val="left"/>
      <w:pPr>
        <w:ind w:left="1440" w:hanging="360"/>
      </w:pPr>
    </w:lvl>
    <w:lvl w:ilvl="2" w:tplc="1BE2F288" w:tentative="1">
      <w:start w:val="1"/>
      <w:numFmt w:val="lowerRoman"/>
      <w:lvlText w:val="%3."/>
      <w:lvlJc w:val="right"/>
      <w:pPr>
        <w:ind w:left="2160" w:hanging="180"/>
      </w:pPr>
    </w:lvl>
    <w:lvl w:ilvl="3" w:tplc="DADE38BE" w:tentative="1">
      <w:start w:val="1"/>
      <w:numFmt w:val="decimal"/>
      <w:lvlText w:val="%4."/>
      <w:lvlJc w:val="left"/>
      <w:pPr>
        <w:ind w:left="2880" w:hanging="360"/>
      </w:pPr>
    </w:lvl>
    <w:lvl w:ilvl="4" w:tplc="1C9257E6" w:tentative="1">
      <w:start w:val="1"/>
      <w:numFmt w:val="lowerLetter"/>
      <w:lvlText w:val="%5."/>
      <w:lvlJc w:val="left"/>
      <w:pPr>
        <w:ind w:left="3600" w:hanging="360"/>
      </w:pPr>
    </w:lvl>
    <w:lvl w:ilvl="5" w:tplc="9856AF60" w:tentative="1">
      <w:start w:val="1"/>
      <w:numFmt w:val="lowerRoman"/>
      <w:lvlText w:val="%6."/>
      <w:lvlJc w:val="right"/>
      <w:pPr>
        <w:ind w:left="4320" w:hanging="180"/>
      </w:pPr>
    </w:lvl>
    <w:lvl w:ilvl="6" w:tplc="A484DAAA" w:tentative="1">
      <w:start w:val="1"/>
      <w:numFmt w:val="decimal"/>
      <w:lvlText w:val="%7."/>
      <w:lvlJc w:val="left"/>
      <w:pPr>
        <w:ind w:left="5040" w:hanging="360"/>
      </w:pPr>
    </w:lvl>
    <w:lvl w:ilvl="7" w:tplc="6F9AE1FE" w:tentative="1">
      <w:start w:val="1"/>
      <w:numFmt w:val="lowerLetter"/>
      <w:lvlText w:val="%8."/>
      <w:lvlJc w:val="left"/>
      <w:pPr>
        <w:ind w:left="5760" w:hanging="360"/>
      </w:pPr>
    </w:lvl>
    <w:lvl w:ilvl="8" w:tplc="69568430" w:tentative="1">
      <w:start w:val="1"/>
      <w:numFmt w:val="lowerRoman"/>
      <w:lvlText w:val="%9."/>
      <w:lvlJc w:val="right"/>
      <w:pPr>
        <w:ind w:left="6480" w:hanging="180"/>
      </w:pPr>
    </w:lvl>
  </w:abstractNum>
  <w:abstractNum w:abstractNumId="12">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6B562A4"/>
    <w:multiLevelType w:val="hybridMultilevel"/>
    <w:tmpl w:val="FE0E1AFC"/>
    <w:lvl w:ilvl="0" w:tplc="D31ED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78437B"/>
    <w:multiLevelType w:val="hybridMultilevel"/>
    <w:tmpl w:val="77BCDF0A"/>
    <w:lvl w:ilvl="0" w:tplc="932475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748143F"/>
    <w:multiLevelType w:val="multilevel"/>
    <w:tmpl w:val="164A9004"/>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720"/>
        </w:tabs>
        <w:ind w:left="720" w:hanging="360"/>
      </w:pPr>
      <w:rPr>
        <w:b w:val="0"/>
        <w:i w:val="0"/>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16">
    <w:nsid w:val="7F263264"/>
    <w:multiLevelType w:val="hybridMultilevel"/>
    <w:tmpl w:val="BB901F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5"/>
  </w:num>
  <w:num w:numId="5">
    <w:abstractNumId w:val="8"/>
  </w:num>
  <w:num w:numId="6">
    <w:abstractNumId w:val="9"/>
  </w:num>
  <w:num w:numId="7">
    <w:abstractNumId w:val="7"/>
  </w:num>
  <w:num w:numId="8">
    <w:abstractNumId w:val="12"/>
  </w:num>
  <w:num w:numId="9">
    <w:abstractNumId w:val="13"/>
  </w:num>
  <w:num w:numId="10">
    <w:abstractNumId w:val="4"/>
  </w:num>
  <w:num w:numId="11">
    <w:abstractNumId w:val="1"/>
  </w:num>
  <w:num w:numId="12">
    <w:abstractNumId w:val="10"/>
  </w:num>
  <w:num w:numId="13">
    <w:abstractNumId w:val="14"/>
  </w:num>
  <w:num w:numId="14">
    <w:abstractNumId w:val="16"/>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93"/>
    <w:rsid w:val="00030F49"/>
    <w:rsid w:val="00032D4E"/>
    <w:rsid w:val="000454AB"/>
    <w:rsid w:val="00050FF0"/>
    <w:rsid w:val="00062642"/>
    <w:rsid w:val="0007042C"/>
    <w:rsid w:val="00076A66"/>
    <w:rsid w:val="000957DD"/>
    <w:rsid w:val="000A660A"/>
    <w:rsid w:val="001209C7"/>
    <w:rsid w:val="00127ECA"/>
    <w:rsid w:val="00136607"/>
    <w:rsid w:val="001425F1"/>
    <w:rsid w:val="001447C6"/>
    <w:rsid w:val="00147198"/>
    <w:rsid w:val="00156015"/>
    <w:rsid w:val="00160C54"/>
    <w:rsid w:val="001720F9"/>
    <w:rsid w:val="00174258"/>
    <w:rsid w:val="0017553D"/>
    <w:rsid w:val="00187D9A"/>
    <w:rsid w:val="00195A16"/>
    <w:rsid w:val="001B2722"/>
    <w:rsid w:val="001B4467"/>
    <w:rsid w:val="001C4C05"/>
    <w:rsid w:val="001C6AED"/>
    <w:rsid w:val="001E4AB6"/>
    <w:rsid w:val="001F7C42"/>
    <w:rsid w:val="00201ABD"/>
    <w:rsid w:val="002310BE"/>
    <w:rsid w:val="00233AAE"/>
    <w:rsid w:val="00237A97"/>
    <w:rsid w:val="00244A16"/>
    <w:rsid w:val="00252F14"/>
    <w:rsid w:val="00261278"/>
    <w:rsid w:val="002849B3"/>
    <w:rsid w:val="002A58A1"/>
    <w:rsid w:val="002B1C56"/>
    <w:rsid w:val="002B4969"/>
    <w:rsid w:val="002B5701"/>
    <w:rsid w:val="002C3FC6"/>
    <w:rsid w:val="002E3A7B"/>
    <w:rsid w:val="002F52AC"/>
    <w:rsid w:val="003047D0"/>
    <w:rsid w:val="00341F4E"/>
    <w:rsid w:val="00366F4E"/>
    <w:rsid w:val="00381C44"/>
    <w:rsid w:val="003A0722"/>
    <w:rsid w:val="003B54C2"/>
    <w:rsid w:val="003D0AB4"/>
    <w:rsid w:val="003D13BF"/>
    <w:rsid w:val="003F5C5C"/>
    <w:rsid w:val="0040604C"/>
    <w:rsid w:val="00442366"/>
    <w:rsid w:val="00467AF4"/>
    <w:rsid w:val="004B1F88"/>
    <w:rsid w:val="004B471D"/>
    <w:rsid w:val="004E5193"/>
    <w:rsid w:val="00517C83"/>
    <w:rsid w:val="00531479"/>
    <w:rsid w:val="005319B3"/>
    <w:rsid w:val="00534443"/>
    <w:rsid w:val="005640FA"/>
    <w:rsid w:val="00566A63"/>
    <w:rsid w:val="005719D9"/>
    <w:rsid w:val="00574CB9"/>
    <w:rsid w:val="005A1BE9"/>
    <w:rsid w:val="005C7326"/>
    <w:rsid w:val="005C7740"/>
    <w:rsid w:val="00603A64"/>
    <w:rsid w:val="0060570D"/>
    <w:rsid w:val="00626F1B"/>
    <w:rsid w:val="00632ACE"/>
    <w:rsid w:val="00633866"/>
    <w:rsid w:val="00641E72"/>
    <w:rsid w:val="006870B0"/>
    <w:rsid w:val="00697279"/>
    <w:rsid w:val="006D18D5"/>
    <w:rsid w:val="006E1E2B"/>
    <w:rsid w:val="006F28D5"/>
    <w:rsid w:val="006F7730"/>
    <w:rsid w:val="00723A95"/>
    <w:rsid w:val="00742723"/>
    <w:rsid w:val="007A1DC3"/>
    <w:rsid w:val="007D1002"/>
    <w:rsid w:val="007D3E18"/>
    <w:rsid w:val="007D5625"/>
    <w:rsid w:val="007D6AAF"/>
    <w:rsid w:val="007E23AD"/>
    <w:rsid w:val="007E337E"/>
    <w:rsid w:val="007F20AE"/>
    <w:rsid w:val="007F618C"/>
    <w:rsid w:val="007F77A9"/>
    <w:rsid w:val="00805AAC"/>
    <w:rsid w:val="0081722D"/>
    <w:rsid w:val="00843AEF"/>
    <w:rsid w:val="00851388"/>
    <w:rsid w:val="00854395"/>
    <w:rsid w:val="008613E1"/>
    <w:rsid w:val="00880564"/>
    <w:rsid w:val="00891469"/>
    <w:rsid w:val="00892CA9"/>
    <w:rsid w:val="00896E31"/>
    <w:rsid w:val="008E0B06"/>
    <w:rsid w:val="008E2157"/>
    <w:rsid w:val="00902C3C"/>
    <w:rsid w:val="009336F8"/>
    <w:rsid w:val="00956B3B"/>
    <w:rsid w:val="00966E3A"/>
    <w:rsid w:val="009847F8"/>
    <w:rsid w:val="00990D52"/>
    <w:rsid w:val="009A2302"/>
    <w:rsid w:val="009D1192"/>
    <w:rsid w:val="009D653B"/>
    <w:rsid w:val="009F5C8B"/>
    <w:rsid w:val="009F6121"/>
    <w:rsid w:val="00A21A8F"/>
    <w:rsid w:val="00A3396E"/>
    <w:rsid w:val="00A3741A"/>
    <w:rsid w:val="00A5043A"/>
    <w:rsid w:val="00A55D05"/>
    <w:rsid w:val="00A62A99"/>
    <w:rsid w:val="00A751AC"/>
    <w:rsid w:val="00A756B9"/>
    <w:rsid w:val="00A85172"/>
    <w:rsid w:val="00A87A22"/>
    <w:rsid w:val="00AA5C2A"/>
    <w:rsid w:val="00AD5B7C"/>
    <w:rsid w:val="00AE2DF3"/>
    <w:rsid w:val="00B201F6"/>
    <w:rsid w:val="00B417C7"/>
    <w:rsid w:val="00B53838"/>
    <w:rsid w:val="00B53EA8"/>
    <w:rsid w:val="00B55BD1"/>
    <w:rsid w:val="00B63B2B"/>
    <w:rsid w:val="00B76F5C"/>
    <w:rsid w:val="00B8509C"/>
    <w:rsid w:val="00BB2F9D"/>
    <w:rsid w:val="00BC1772"/>
    <w:rsid w:val="00BE7A58"/>
    <w:rsid w:val="00BF1094"/>
    <w:rsid w:val="00BF4E3C"/>
    <w:rsid w:val="00BF7C51"/>
    <w:rsid w:val="00C122F2"/>
    <w:rsid w:val="00C328D2"/>
    <w:rsid w:val="00C3302B"/>
    <w:rsid w:val="00C517E8"/>
    <w:rsid w:val="00C66B94"/>
    <w:rsid w:val="00C72910"/>
    <w:rsid w:val="00C74010"/>
    <w:rsid w:val="00C950B0"/>
    <w:rsid w:val="00CA0CC7"/>
    <w:rsid w:val="00CA6352"/>
    <w:rsid w:val="00CD0AA4"/>
    <w:rsid w:val="00CD10BB"/>
    <w:rsid w:val="00CD597D"/>
    <w:rsid w:val="00D103A7"/>
    <w:rsid w:val="00D32D55"/>
    <w:rsid w:val="00D3477C"/>
    <w:rsid w:val="00D51D8B"/>
    <w:rsid w:val="00D53B63"/>
    <w:rsid w:val="00D60058"/>
    <w:rsid w:val="00D6150C"/>
    <w:rsid w:val="00D84761"/>
    <w:rsid w:val="00D85B53"/>
    <w:rsid w:val="00D96A3A"/>
    <w:rsid w:val="00E222B5"/>
    <w:rsid w:val="00E31B32"/>
    <w:rsid w:val="00E55FAA"/>
    <w:rsid w:val="00E64847"/>
    <w:rsid w:val="00EA338F"/>
    <w:rsid w:val="00EA3D51"/>
    <w:rsid w:val="00EC3495"/>
    <w:rsid w:val="00EF1439"/>
    <w:rsid w:val="00EF53CA"/>
    <w:rsid w:val="00F33AE0"/>
    <w:rsid w:val="00F4347B"/>
    <w:rsid w:val="00F505B0"/>
    <w:rsid w:val="00F550AB"/>
    <w:rsid w:val="00F96335"/>
    <w:rsid w:val="00FA4B19"/>
    <w:rsid w:val="00FA7C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50AB"/>
    <w:pPr>
      <w:jc w:val="both"/>
    </w:pPr>
    <w:rPr>
      <w:rFonts w:ascii="Times New Roman" w:eastAsia="Times New Roman" w:hAnsi="Times New Roman"/>
      <w:sz w:val="24"/>
      <w:szCs w:val="22"/>
      <w:lang w:val="en-US" w:eastAsia="en-US" w:bidi="en-US"/>
    </w:rPr>
  </w:style>
  <w:style w:type="paragraph" w:styleId="Nadpis1">
    <w:name w:val="heading 1"/>
    <w:basedOn w:val="Normlny"/>
    <w:next w:val="Normlny"/>
    <w:link w:val="Nadpis1Char"/>
    <w:uiPriority w:val="9"/>
    <w:qFormat/>
    <w:rsid w:val="001720F9"/>
    <w:pPr>
      <w:keepNext/>
      <w:keepLines/>
      <w:spacing w:after="120"/>
      <w:jc w:val="left"/>
      <w:outlineLvl w:val="0"/>
    </w:pPr>
    <w:rPr>
      <w:b/>
      <w:bCs/>
      <w:szCs w:val="28"/>
      <w:lang w:val="en-GB"/>
    </w:rPr>
  </w:style>
  <w:style w:type="paragraph" w:styleId="Nadpis2">
    <w:name w:val="heading 2"/>
    <w:basedOn w:val="Normlny"/>
    <w:next w:val="Normlny"/>
    <w:link w:val="Nadpis2Char"/>
    <w:uiPriority w:val="9"/>
    <w:unhideWhenUsed/>
    <w:qFormat/>
    <w:rsid w:val="00CD597D"/>
    <w:pPr>
      <w:keepNext/>
      <w:keepLines/>
      <w:spacing w:after="120"/>
      <w:outlineLvl w:val="1"/>
    </w:pPr>
    <w:rPr>
      <w:b/>
      <w:bCs/>
      <w:i/>
      <w:szCs w:val="26"/>
    </w:rPr>
  </w:style>
  <w:style w:type="paragraph" w:styleId="Nadpis3">
    <w:name w:val="heading 3"/>
    <w:basedOn w:val="Normlny"/>
    <w:next w:val="Normlny"/>
    <w:link w:val="Nadpis3Char"/>
    <w:uiPriority w:val="9"/>
    <w:unhideWhenUsed/>
    <w:qFormat/>
    <w:rsid w:val="00CD597D"/>
    <w:pPr>
      <w:keepNext/>
      <w:keepLines/>
      <w:spacing w:after="120"/>
      <w:outlineLvl w:val="2"/>
    </w:pPr>
    <w:rPr>
      <w:bC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720F9"/>
    <w:rPr>
      <w:rFonts w:ascii="Times New Roman" w:eastAsia="Times New Roman" w:hAnsi="Times New Roman" w:cs="Times New Roman"/>
      <w:b/>
      <w:bCs/>
      <w:sz w:val="24"/>
      <w:szCs w:val="28"/>
      <w:lang w:val="en-GB" w:bidi="en-US"/>
    </w:rPr>
  </w:style>
  <w:style w:type="character" w:customStyle="1" w:styleId="Nadpis2Char">
    <w:name w:val="Nadpis 2 Char"/>
    <w:link w:val="Nadpis2"/>
    <w:uiPriority w:val="9"/>
    <w:rsid w:val="00CD597D"/>
    <w:rPr>
      <w:rFonts w:ascii="Times New Roman" w:eastAsia="Times New Roman" w:hAnsi="Times New Roman"/>
      <w:b/>
      <w:bCs/>
      <w:i/>
      <w:sz w:val="24"/>
      <w:szCs w:val="26"/>
      <w:lang w:val="en-US" w:eastAsia="en-US" w:bidi="en-US"/>
    </w:rPr>
  </w:style>
  <w:style w:type="character" w:customStyle="1" w:styleId="Nadpis3Char">
    <w:name w:val="Nadpis 3 Char"/>
    <w:link w:val="Nadpis3"/>
    <w:uiPriority w:val="9"/>
    <w:rsid w:val="00CD597D"/>
    <w:rPr>
      <w:rFonts w:ascii="Times New Roman" w:eastAsia="Times New Roman" w:hAnsi="Times New Roman"/>
      <w:bCs/>
      <w:i/>
      <w:sz w:val="24"/>
      <w:szCs w:val="22"/>
      <w:lang w:val="en-US" w:eastAsia="en-US" w:bidi="en-US"/>
    </w:rPr>
  </w:style>
  <w:style w:type="paragraph" w:styleId="Odsekzoznamu">
    <w:name w:val="List Paragraph"/>
    <w:basedOn w:val="Normlny"/>
    <w:uiPriority w:val="34"/>
    <w:qFormat/>
    <w:rsid w:val="00956B3B"/>
    <w:pPr>
      <w:ind w:left="720"/>
      <w:contextualSpacing/>
    </w:pPr>
  </w:style>
  <w:style w:type="character" w:styleId="Hypertextovprepojenie">
    <w:name w:val="Hyperlink"/>
    <w:rsid w:val="00D84761"/>
    <w:rPr>
      <w:color w:val="0000FF"/>
      <w:u w:val="single"/>
    </w:rPr>
  </w:style>
  <w:style w:type="paragraph" w:styleId="Zkladntext">
    <w:name w:val="Body Text"/>
    <w:basedOn w:val="Normlny"/>
    <w:next w:val="Prvzarkazkladnhotextu"/>
    <w:link w:val="ZkladntextChar"/>
    <w:rsid w:val="003D0AB4"/>
    <w:pPr>
      <w:spacing w:before="120"/>
    </w:pPr>
    <w:rPr>
      <w:sz w:val="20"/>
      <w:szCs w:val="24"/>
      <w:lang w:eastAsia="cs-CZ" w:bidi="ar-SA"/>
    </w:rPr>
  </w:style>
  <w:style w:type="character" w:customStyle="1" w:styleId="ZkladntextChar">
    <w:name w:val="Základný text Char"/>
    <w:link w:val="Zkladntext"/>
    <w:rsid w:val="003D0AB4"/>
    <w:rPr>
      <w:rFonts w:ascii="Times New Roman" w:eastAsia="Times New Roman" w:hAnsi="Times New Roman" w:cs="Times New Roman"/>
      <w:sz w:val="20"/>
      <w:szCs w:val="24"/>
      <w:lang w:val="en-US" w:eastAsia="cs-CZ"/>
    </w:rPr>
  </w:style>
  <w:style w:type="paragraph" w:customStyle="1" w:styleId="Acknowledgements">
    <w:name w:val="Acknowledgements"/>
    <w:basedOn w:val="Nadpis2"/>
    <w:next w:val="Zkladntext"/>
    <w:rsid w:val="003D0AB4"/>
    <w:pPr>
      <w:keepLines w:val="0"/>
      <w:spacing w:before="240" w:after="60"/>
      <w:jc w:val="left"/>
    </w:pPr>
    <w:rPr>
      <w:rFonts w:cs="Arial"/>
      <w:iCs/>
      <w:szCs w:val="28"/>
      <w:lang w:eastAsia="cs-CZ" w:bidi="ar-SA"/>
    </w:rPr>
  </w:style>
  <w:style w:type="paragraph" w:styleId="Prvzarkazkladnhotextu">
    <w:name w:val="Body Text First Indent"/>
    <w:basedOn w:val="Zkladntext"/>
    <w:link w:val="PrvzarkazkladnhotextuChar"/>
    <w:uiPriority w:val="99"/>
    <w:semiHidden/>
    <w:unhideWhenUsed/>
    <w:rsid w:val="003D0AB4"/>
    <w:pPr>
      <w:spacing w:before="0"/>
      <w:ind w:firstLine="360"/>
    </w:pPr>
    <w:rPr>
      <w:sz w:val="24"/>
      <w:szCs w:val="22"/>
      <w:lang w:eastAsia="en-US" w:bidi="en-US"/>
    </w:rPr>
  </w:style>
  <w:style w:type="character" w:customStyle="1" w:styleId="PrvzarkazkladnhotextuChar">
    <w:name w:val="Prvá zarážka základného textu Char"/>
    <w:basedOn w:val="ZkladntextChar"/>
    <w:link w:val="Prvzarkazkladnhotextu"/>
    <w:uiPriority w:val="99"/>
    <w:semiHidden/>
    <w:rsid w:val="003D0AB4"/>
    <w:rPr>
      <w:rFonts w:ascii="Times New Roman" w:eastAsia="Times New Roman" w:hAnsi="Times New Roman" w:cs="Times New Roman"/>
      <w:sz w:val="20"/>
      <w:szCs w:val="24"/>
      <w:lang w:val="en-US" w:eastAsia="cs-CZ"/>
    </w:rPr>
  </w:style>
  <w:style w:type="paragraph" w:styleId="Textbubliny">
    <w:name w:val="Balloon Text"/>
    <w:basedOn w:val="Normlny"/>
    <w:link w:val="TextbublinyChar"/>
    <w:uiPriority w:val="99"/>
    <w:semiHidden/>
    <w:unhideWhenUsed/>
    <w:rsid w:val="003D0AB4"/>
    <w:rPr>
      <w:rFonts w:ascii="Tahoma" w:hAnsi="Tahoma" w:cs="Tahoma"/>
      <w:sz w:val="16"/>
      <w:szCs w:val="16"/>
    </w:rPr>
  </w:style>
  <w:style w:type="character" w:customStyle="1" w:styleId="TextbublinyChar">
    <w:name w:val="Text bubliny Char"/>
    <w:link w:val="Textbubliny"/>
    <w:uiPriority w:val="99"/>
    <w:semiHidden/>
    <w:rsid w:val="003D0AB4"/>
    <w:rPr>
      <w:rFonts w:ascii="Tahoma" w:eastAsia="Times New Roman" w:hAnsi="Tahoma" w:cs="Tahoma"/>
      <w:sz w:val="16"/>
      <w:szCs w:val="16"/>
      <w:lang w:val="en-US" w:bidi="en-US"/>
    </w:rPr>
  </w:style>
  <w:style w:type="paragraph" w:customStyle="1" w:styleId="References">
    <w:name w:val="References"/>
    <w:basedOn w:val="Normlny"/>
    <w:rsid w:val="00902C3C"/>
    <w:pPr>
      <w:numPr>
        <w:numId w:val="8"/>
      </w:numPr>
      <w:jc w:val="left"/>
    </w:pPr>
    <w:rPr>
      <w:szCs w:val="24"/>
      <w:lang w:eastAsia="cs-CZ" w:bidi="ar-SA"/>
    </w:rPr>
  </w:style>
  <w:style w:type="paragraph" w:styleId="Zoznamcitci">
    <w:name w:val="table of authorities"/>
    <w:basedOn w:val="Normlny"/>
    <w:semiHidden/>
    <w:rsid w:val="00D85B53"/>
    <w:pPr>
      <w:numPr>
        <w:numId w:val="12"/>
      </w:numPr>
      <w:jc w:val="left"/>
    </w:pPr>
    <w:rPr>
      <w:sz w:val="20"/>
      <w:szCs w:val="24"/>
      <w:lang w:eastAsia="cs-CZ" w:bidi="ar-SA"/>
    </w:rPr>
  </w:style>
  <w:style w:type="paragraph" w:styleId="Normlnywebov">
    <w:name w:val="Normal (Web)"/>
    <w:basedOn w:val="Normlny"/>
    <w:uiPriority w:val="99"/>
    <w:semiHidden/>
    <w:unhideWhenUsed/>
    <w:rsid w:val="00C3302B"/>
    <w:pPr>
      <w:spacing w:before="100" w:beforeAutospacing="1" w:after="100" w:afterAutospacing="1"/>
      <w:jc w:val="left"/>
    </w:pPr>
    <w:rPr>
      <w:szCs w:val="24"/>
      <w:lang w:val="sk-SK" w:eastAsia="sk-SK" w:bidi="ar-SA"/>
    </w:rPr>
  </w:style>
  <w:style w:type="table" w:styleId="Svetlpodfarbeniezvraznenie2">
    <w:name w:val="Light Shading Accent 2"/>
    <w:basedOn w:val="Normlnatabuka"/>
    <w:uiPriority w:val="60"/>
    <w:rsid w:val="00A55D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riekatabuky">
    <w:name w:val="Table Grid"/>
    <w:basedOn w:val="Normlnatabuka"/>
    <w:uiPriority w:val="59"/>
    <w:rsid w:val="00A5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50AB"/>
    <w:pPr>
      <w:jc w:val="both"/>
    </w:pPr>
    <w:rPr>
      <w:rFonts w:ascii="Times New Roman" w:eastAsia="Times New Roman" w:hAnsi="Times New Roman"/>
      <w:sz w:val="24"/>
      <w:szCs w:val="22"/>
      <w:lang w:val="en-US" w:eastAsia="en-US" w:bidi="en-US"/>
    </w:rPr>
  </w:style>
  <w:style w:type="paragraph" w:styleId="Nadpis1">
    <w:name w:val="heading 1"/>
    <w:basedOn w:val="Normlny"/>
    <w:next w:val="Normlny"/>
    <w:link w:val="Nadpis1Char"/>
    <w:uiPriority w:val="9"/>
    <w:qFormat/>
    <w:rsid w:val="001720F9"/>
    <w:pPr>
      <w:keepNext/>
      <w:keepLines/>
      <w:spacing w:after="120"/>
      <w:jc w:val="left"/>
      <w:outlineLvl w:val="0"/>
    </w:pPr>
    <w:rPr>
      <w:b/>
      <w:bCs/>
      <w:szCs w:val="28"/>
      <w:lang w:val="en-GB"/>
    </w:rPr>
  </w:style>
  <w:style w:type="paragraph" w:styleId="Nadpis2">
    <w:name w:val="heading 2"/>
    <w:basedOn w:val="Normlny"/>
    <w:next w:val="Normlny"/>
    <w:link w:val="Nadpis2Char"/>
    <w:uiPriority w:val="9"/>
    <w:unhideWhenUsed/>
    <w:qFormat/>
    <w:rsid w:val="00CD597D"/>
    <w:pPr>
      <w:keepNext/>
      <w:keepLines/>
      <w:spacing w:after="120"/>
      <w:outlineLvl w:val="1"/>
    </w:pPr>
    <w:rPr>
      <w:b/>
      <w:bCs/>
      <w:i/>
      <w:szCs w:val="26"/>
    </w:rPr>
  </w:style>
  <w:style w:type="paragraph" w:styleId="Nadpis3">
    <w:name w:val="heading 3"/>
    <w:basedOn w:val="Normlny"/>
    <w:next w:val="Normlny"/>
    <w:link w:val="Nadpis3Char"/>
    <w:uiPriority w:val="9"/>
    <w:unhideWhenUsed/>
    <w:qFormat/>
    <w:rsid w:val="00CD597D"/>
    <w:pPr>
      <w:keepNext/>
      <w:keepLines/>
      <w:spacing w:after="120"/>
      <w:outlineLvl w:val="2"/>
    </w:pPr>
    <w:rPr>
      <w:bC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720F9"/>
    <w:rPr>
      <w:rFonts w:ascii="Times New Roman" w:eastAsia="Times New Roman" w:hAnsi="Times New Roman" w:cs="Times New Roman"/>
      <w:b/>
      <w:bCs/>
      <w:sz w:val="24"/>
      <w:szCs w:val="28"/>
      <w:lang w:val="en-GB" w:bidi="en-US"/>
    </w:rPr>
  </w:style>
  <w:style w:type="character" w:customStyle="1" w:styleId="Nadpis2Char">
    <w:name w:val="Nadpis 2 Char"/>
    <w:link w:val="Nadpis2"/>
    <w:uiPriority w:val="9"/>
    <w:rsid w:val="00CD597D"/>
    <w:rPr>
      <w:rFonts w:ascii="Times New Roman" w:eastAsia="Times New Roman" w:hAnsi="Times New Roman"/>
      <w:b/>
      <w:bCs/>
      <w:i/>
      <w:sz w:val="24"/>
      <w:szCs w:val="26"/>
      <w:lang w:val="en-US" w:eastAsia="en-US" w:bidi="en-US"/>
    </w:rPr>
  </w:style>
  <w:style w:type="character" w:customStyle="1" w:styleId="Nadpis3Char">
    <w:name w:val="Nadpis 3 Char"/>
    <w:link w:val="Nadpis3"/>
    <w:uiPriority w:val="9"/>
    <w:rsid w:val="00CD597D"/>
    <w:rPr>
      <w:rFonts w:ascii="Times New Roman" w:eastAsia="Times New Roman" w:hAnsi="Times New Roman"/>
      <w:bCs/>
      <w:i/>
      <w:sz w:val="24"/>
      <w:szCs w:val="22"/>
      <w:lang w:val="en-US" w:eastAsia="en-US" w:bidi="en-US"/>
    </w:rPr>
  </w:style>
  <w:style w:type="paragraph" w:styleId="Odsekzoznamu">
    <w:name w:val="List Paragraph"/>
    <w:basedOn w:val="Normlny"/>
    <w:uiPriority w:val="34"/>
    <w:qFormat/>
    <w:rsid w:val="00956B3B"/>
    <w:pPr>
      <w:ind w:left="720"/>
      <w:contextualSpacing/>
    </w:pPr>
  </w:style>
  <w:style w:type="character" w:styleId="Hypertextovprepojenie">
    <w:name w:val="Hyperlink"/>
    <w:rsid w:val="00D84761"/>
    <w:rPr>
      <w:color w:val="0000FF"/>
      <w:u w:val="single"/>
    </w:rPr>
  </w:style>
  <w:style w:type="paragraph" w:styleId="Zkladntext">
    <w:name w:val="Body Text"/>
    <w:basedOn w:val="Normlny"/>
    <w:next w:val="Prvzarkazkladnhotextu"/>
    <w:link w:val="ZkladntextChar"/>
    <w:rsid w:val="003D0AB4"/>
    <w:pPr>
      <w:spacing w:before="120"/>
    </w:pPr>
    <w:rPr>
      <w:sz w:val="20"/>
      <w:szCs w:val="24"/>
      <w:lang w:eastAsia="cs-CZ" w:bidi="ar-SA"/>
    </w:rPr>
  </w:style>
  <w:style w:type="character" w:customStyle="1" w:styleId="ZkladntextChar">
    <w:name w:val="Základný text Char"/>
    <w:link w:val="Zkladntext"/>
    <w:rsid w:val="003D0AB4"/>
    <w:rPr>
      <w:rFonts w:ascii="Times New Roman" w:eastAsia="Times New Roman" w:hAnsi="Times New Roman" w:cs="Times New Roman"/>
      <w:sz w:val="20"/>
      <w:szCs w:val="24"/>
      <w:lang w:val="en-US" w:eastAsia="cs-CZ"/>
    </w:rPr>
  </w:style>
  <w:style w:type="paragraph" w:customStyle="1" w:styleId="Acknowledgements">
    <w:name w:val="Acknowledgements"/>
    <w:basedOn w:val="Nadpis2"/>
    <w:next w:val="Zkladntext"/>
    <w:rsid w:val="003D0AB4"/>
    <w:pPr>
      <w:keepLines w:val="0"/>
      <w:spacing w:before="240" w:after="60"/>
      <w:jc w:val="left"/>
    </w:pPr>
    <w:rPr>
      <w:rFonts w:cs="Arial"/>
      <w:iCs/>
      <w:szCs w:val="28"/>
      <w:lang w:eastAsia="cs-CZ" w:bidi="ar-SA"/>
    </w:rPr>
  </w:style>
  <w:style w:type="paragraph" w:styleId="Prvzarkazkladnhotextu">
    <w:name w:val="Body Text First Indent"/>
    <w:basedOn w:val="Zkladntext"/>
    <w:link w:val="PrvzarkazkladnhotextuChar"/>
    <w:uiPriority w:val="99"/>
    <w:semiHidden/>
    <w:unhideWhenUsed/>
    <w:rsid w:val="003D0AB4"/>
    <w:pPr>
      <w:spacing w:before="0"/>
      <w:ind w:firstLine="360"/>
    </w:pPr>
    <w:rPr>
      <w:sz w:val="24"/>
      <w:szCs w:val="22"/>
      <w:lang w:eastAsia="en-US" w:bidi="en-US"/>
    </w:rPr>
  </w:style>
  <w:style w:type="character" w:customStyle="1" w:styleId="PrvzarkazkladnhotextuChar">
    <w:name w:val="Prvá zarážka základného textu Char"/>
    <w:basedOn w:val="ZkladntextChar"/>
    <w:link w:val="Prvzarkazkladnhotextu"/>
    <w:uiPriority w:val="99"/>
    <w:semiHidden/>
    <w:rsid w:val="003D0AB4"/>
    <w:rPr>
      <w:rFonts w:ascii="Times New Roman" w:eastAsia="Times New Roman" w:hAnsi="Times New Roman" w:cs="Times New Roman"/>
      <w:sz w:val="20"/>
      <w:szCs w:val="24"/>
      <w:lang w:val="en-US" w:eastAsia="cs-CZ"/>
    </w:rPr>
  </w:style>
  <w:style w:type="paragraph" w:styleId="Textbubliny">
    <w:name w:val="Balloon Text"/>
    <w:basedOn w:val="Normlny"/>
    <w:link w:val="TextbublinyChar"/>
    <w:uiPriority w:val="99"/>
    <w:semiHidden/>
    <w:unhideWhenUsed/>
    <w:rsid w:val="003D0AB4"/>
    <w:rPr>
      <w:rFonts w:ascii="Tahoma" w:hAnsi="Tahoma" w:cs="Tahoma"/>
      <w:sz w:val="16"/>
      <w:szCs w:val="16"/>
    </w:rPr>
  </w:style>
  <w:style w:type="character" w:customStyle="1" w:styleId="TextbublinyChar">
    <w:name w:val="Text bubliny Char"/>
    <w:link w:val="Textbubliny"/>
    <w:uiPriority w:val="99"/>
    <w:semiHidden/>
    <w:rsid w:val="003D0AB4"/>
    <w:rPr>
      <w:rFonts w:ascii="Tahoma" w:eastAsia="Times New Roman" w:hAnsi="Tahoma" w:cs="Tahoma"/>
      <w:sz w:val="16"/>
      <w:szCs w:val="16"/>
      <w:lang w:val="en-US" w:bidi="en-US"/>
    </w:rPr>
  </w:style>
  <w:style w:type="paragraph" w:customStyle="1" w:styleId="References">
    <w:name w:val="References"/>
    <w:basedOn w:val="Normlny"/>
    <w:rsid w:val="00902C3C"/>
    <w:pPr>
      <w:numPr>
        <w:numId w:val="8"/>
      </w:numPr>
      <w:jc w:val="left"/>
    </w:pPr>
    <w:rPr>
      <w:szCs w:val="24"/>
      <w:lang w:eastAsia="cs-CZ" w:bidi="ar-SA"/>
    </w:rPr>
  </w:style>
  <w:style w:type="paragraph" w:styleId="Zoznamcitci">
    <w:name w:val="table of authorities"/>
    <w:basedOn w:val="Normlny"/>
    <w:semiHidden/>
    <w:rsid w:val="00D85B53"/>
    <w:pPr>
      <w:numPr>
        <w:numId w:val="12"/>
      </w:numPr>
      <w:jc w:val="left"/>
    </w:pPr>
    <w:rPr>
      <w:sz w:val="20"/>
      <w:szCs w:val="24"/>
      <w:lang w:eastAsia="cs-CZ" w:bidi="ar-SA"/>
    </w:rPr>
  </w:style>
  <w:style w:type="paragraph" w:styleId="Normlnywebov">
    <w:name w:val="Normal (Web)"/>
    <w:basedOn w:val="Normlny"/>
    <w:uiPriority w:val="99"/>
    <w:semiHidden/>
    <w:unhideWhenUsed/>
    <w:rsid w:val="00C3302B"/>
    <w:pPr>
      <w:spacing w:before="100" w:beforeAutospacing="1" w:after="100" w:afterAutospacing="1"/>
      <w:jc w:val="left"/>
    </w:pPr>
    <w:rPr>
      <w:szCs w:val="24"/>
      <w:lang w:val="sk-SK" w:eastAsia="sk-SK" w:bidi="ar-SA"/>
    </w:rPr>
  </w:style>
  <w:style w:type="table" w:styleId="Svetlpodfarbeniezvraznenie2">
    <w:name w:val="Light Shading Accent 2"/>
    <w:basedOn w:val="Normlnatabuka"/>
    <w:uiPriority w:val="60"/>
    <w:rsid w:val="00A55D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riekatabuky">
    <w:name w:val="Table Grid"/>
    <w:basedOn w:val="Normlnatabuka"/>
    <w:uiPriority w:val="59"/>
    <w:rsid w:val="00A5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0745">
      <w:bodyDiv w:val="1"/>
      <w:marLeft w:val="0"/>
      <w:marRight w:val="0"/>
      <w:marTop w:val="0"/>
      <w:marBottom w:val="0"/>
      <w:divBdr>
        <w:top w:val="none" w:sz="0" w:space="0" w:color="auto"/>
        <w:left w:val="none" w:sz="0" w:space="0" w:color="auto"/>
        <w:bottom w:val="none" w:sz="0" w:space="0" w:color="auto"/>
        <w:right w:val="none" w:sz="0" w:space="0" w:color="auto"/>
      </w:divBdr>
      <w:divsChild>
        <w:div w:id="507718623">
          <w:marLeft w:val="1440"/>
          <w:marRight w:val="0"/>
          <w:marTop w:val="240"/>
          <w:marBottom w:val="0"/>
          <w:divBdr>
            <w:top w:val="none" w:sz="0" w:space="0" w:color="auto"/>
            <w:left w:val="none" w:sz="0" w:space="0" w:color="auto"/>
            <w:bottom w:val="none" w:sz="0" w:space="0" w:color="auto"/>
            <w:right w:val="none" w:sz="0" w:space="0" w:color="auto"/>
          </w:divBdr>
        </w:div>
      </w:divsChild>
    </w:div>
    <w:div w:id="833229197">
      <w:bodyDiv w:val="1"/>
      <w:marLeft w:val="0"/>
      <w:marRight w:val="0"/>
      <w:marTop w:val="0"/>
      <w:marBottom w:val="0"/>
      <w:divBdr>
        <w:top w:val="none" w:sz="0" w:space="0" w:color="auto"/>
        <w:left w:val="none" w:sz="0" w:space="0" w:color="auto"/>
        <w:bottom w:val="none" w:sz="0" w:space="0" w:color="auto"/>
        <w:right w:val="none" w:sz="0" w:space="0" w:color="auto"/>
      </w:divBdr>
    </w:div>
    <w:div w:id="8793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epp.sk/dokumenty/vn/vn20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uepp.sk/dokumenty/vn/vn2007.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sk/index.php?navID=18" TargetMode="External"/><Relationship Id="rId5" Type="http://schemas.openxmlformats.org/officeDocument/2006/relationships/settings" Target="settings.xml"/><Relationship Id="rId10" Type="http://schemas.openxmlformats.org/officeDocument/2006/relationships/hyperlink" Target="https://www.mtholyoke.edu/courses/epaus/econ213/rodrikgovernance.PDF" TargetMode="External"/><Relationship Id="rId4" Type="http://schemas.microsoft.com/office/2007/relationships/stylesWithEffects" Target="stylesWithEffects.xml"/><Relationship Id="rId9" Type="http://schemas.openxmlformats.org/officeDocument/2006/relationships/hyperlink" Target="http://www.hayek.sk/vybrane-regulacie-eu-a-ich-dopa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z&#225;loha%20disk%20F\VSE\katedra%20120\Konference\Konference%20K120%202012\&#352;ablona%20abstrak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FEF2-3AC2-4879-8313-CEA4F75C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abstrakt</Template>
  <TotalTime>332</TotalTime>
  <Pages>5</Pages>
  <Words>2285</Words>
  <Characters>13028</Characters>
  <Application>Microsoft Office Word</Application>
  <DocSecurity>0</DocSecurity>
  <Lines>108</Lines>
  <Paragraphs>30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VŠB-TUO Ekonomická fakulta</Company>
  <LinksUpToDate>false</LinksUpToDate>
  <CharactersWithSpaces>15283</CharactersWithSpaces>
  <SharedDoc>false</SharedDoc>
  <HLinks>
    <vt:vector size="12" baseType="variant">
      <vt:variant>
        <vt:i4>2687027</vt:i4>
      </vt:variant>
      <vt:variant>
        <vt:i4>3</vt:i4>
      </vt:variant>
      <vt:variant>
        <vt:i4>0</vt:i4>
      </vt:variant>
      <vt:variant>
        <vt:i4>5</vt:i4>
      </vt:variant>
      <vt:variant>
        <vt:lpwstr>http://www.ausstats.abs.gov.au/ausstats/subscriber.nsf/0/CA25687100069892CA256889000CA9FC/</vt:lpwstr>
      </vt:variant>
      <vt:variant>
        <vt:lpwstr/>
      </vt:variant>
      <vt:variant>
        <vt:i4>26</vt:i4>
      </vt:variant>
      <vt:variant>
        <vt:i4>0</vt:i4>
      </vt:variant>
      <vt:variant>
        <vt:i4>0</vt:i4>
      </vt:variant>
      <vt:variant>
        <vt:i4>5</vt:i4>
      </vt:variant>
      <vt:variant>
        <vt:lpwstr>http://search.ebscohost.com/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Honová</dc:creator>
  <cp:lastModifiedBy>My</cp:lastModifiedBy>
  <cp:revision>79</cp:revision>
  <cp:lastPrinted>2012-03-28T08:35:00Z</cp:lastPrinted>
  <dcterms:created xsi:type="dcterms:W3CDTF">2014-04-21T17:46:00Z</dcterms:created>
  <dcterms:modified xsi:type="dcterms:W3CDTF">2014-04-22T15:49:00Z</dcterms:modified>
</cp:coreProperties>
</file>