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18" w:rsidRPr="00CD6B7C" w:rsidRDefault="001D7F22" w:rsidP="00CD6B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B7C">
        <w:rPr>
          <w:rFonts w:ascii="Times New Roman" w:hAnsi="Times New Roman" w:cs="Times New Roman"/>
          <w:b/>
          <w:sz w:val="28"/>
          <w:szCs w:val="28"/>
        </w:rPr>
        <w:t>S</w:t>
      </w:r>
      <w:r w:rsidR="00F32BA4">
        <w:rPr>
          <w:rFonts w:ascii="Times New Roman" w:hAnsi="Times New Roman" w:cs="Times New Roman"/>
          <w:b/>
          <w:sz w:val="28"/>
          <w:szCs w:val="28"/>
        </w:rPr>
        <w:t>poločná poľnohospodárska politika</w:t>
      </w:r>
      <w:r w:rsidRPr="00CD6B7C">
        <w:rPr>
          <w:rFonts w:ascii="Times New Roman" w:hAnsi="Times New Roman" w:cs="Times New Roman"/>
          <w:b/>
          <w:sz w:val="28"/>
          <w:szCs w:val="28"/>
        </w:rPr>
        <w:t xml:space="preserve"> EÚ</w:t>
      </w:r>
    </w:p>
    <w:p w:rsidR="00993EC2" w:rsidRPr="00CD6B7C" w:rsidRDefault="00993EC2" w:rsidP="00CD6B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B7C">
        <w:rPr>
          <w:rFonts w:ascii="Times New Roman" w:hAnsi="Times New Roman" w:cs="Times New Roman"/>
          <w:b/>
          <w:sz w:val="24"/>
          <w:szCs w:val="24"/>
        </w:rPr>
        <w:t>Ing. Roman Serenčéš, PhD., Katedra ekonomiky FEM SPU v Nitre</w:t>
      </w:r>
    </w:p>
    <w:p w:rsidR="001D7F22" w:rsidRDefault="001D7F22">
      <w:pPr>
        <w:rPr>
          <w:rFonts w:ascii="Times New Roman" w:hAnsi="Times New Roman" w:cs="Times New Roman"/>
          <w:sz w:val="24"/>
          <w:szCs w:val="24"/>
        </w:rPr>
      </w:pPr>
    </w:p>
    <w:p w:rsidR="00361EB9" w:rsidRDefault="001D7F22" w:rsidP="00147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Spoločná poľnohospodárska politika (SPP) Európskej únie (EÚ) </w:t>
      </w:r>
      <w:r w:rsidR="00147663">
        <w:rPr>
          <w:rFonts w:ascii="Times New Roman" w:hAnsi="Times New Roman" w:cs="Times New Roman"/>
          <w:sz w:val="24"/>
          <w:szCs w:val="24"/>
        </w:rPr>
        <w:t>sa volá „spoločná“, pretože hlavné rozhodnutia poľnohospodárskej politiky sa robia na úrovni EÚ, a</w:t>
      </w:r>
      <w:r w:rsidR="00CD6B7C">
        <w:rPr>
          <w:rFonts w:ascii="Times New Roman" w:hAnsi="Times New Roman" w:cs="Times New Roman"/>
          <w:sz w:val="24"/>
          <w:szCs w:val="24"/>
        </w:rPr>
        <w:t> tieto</w:t>
      </w:r>
      <w:r w:rsidR="00147663">
        <w:rPr>
          <w:rFonts w:ascii="Times New Roman" w:hAnsi="Times New Roman" w:cs="Times New Roman"/>
          <w:sz w:val="24"/>
          <w:szCs w:val="24"/>
        </w:rPr>
        <w:t xml:space="preserve"> sú z väčšej časti financované zo spoločného európskeho rozpočtu. </w:t>
      </w:r>
      <w:r w:rsidR="00892544">
        <w:rPr>
          <w:rFonts w:ascii="Times New Roman" w:hAnsi="Times New Roman" w:cs="Times New Roman"/>
          <w:sz w:val="24"/>
          <w:szCs w:val="24"/>
        </w:rPr>
        <w:t xml:space="preserve">Preto je poľnohospodárstvo vnímané ako jeden z najviac integrovaných sektorov v EÚ a dokonca </w:t>
      </w:r>
      <w:r w:rsidR="00CD6B7C">
        <w:rPr>
          <w:rFonts w:ascii="Times New Roman" w:hAnsi="Times New Roman" w:cs="Times New Roman"/>
          <w:sz w:val="24"/>
          <w:szCs w:val="24"/>
        </w:rPr>
        <w:t xml:space="preserve">je niekedy dávaný za vzor </w:t>
      </w:r>
      <w:r w:rsidR="00892544">
        <w:rPr>
          <w:rFonts w:ascii="Times New Roman" w:hAnsi="Times New Roman" w:cs="Times New Roman"/>
          <w:sz w:val="24"/>
          <w:szCs w:val="24"/>
        </w:rPr>
        <w:t>pre ostatné sektory.</w:t>
      </w:r>
      <w:r w:rsid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737F4D">
        <w:rPr>
          <w:rFonts w:ascii="Times New Roman" w:hAnsi="Times New Roman" w:cs="Times New Roman"/>
          <w:sz w:val="24"/>
          <w:szCs w:val="24"/>
        </w:rPr>
        <w:t>E</w:t>
      </w:r>
      <w:r w:rsidR="00060A90">
        <w:rPr>
          <w:rFonts w:ascii="Times New Roman" w:hAnsi="Times New Roman" w:cs="Times New Roman"/>
          <w:sz w:val="24"/>
          <w:szCs w:val="24"/>
        </w:rPr>
        <w:t>urópsky poľnohospodársky sekto</w:t>
      </w:r>
      <w:r w:rsidR="00857539">
        <w:rPr>
          <w:rFonts w:ascii="Times New Roman" w:hAnsi="Times New Roman" w:cs="Times New Roman"/>
          <w:sz w:val="24"/>
          <w:szCs w:val="24"/>
        </w:rPr>
        <w:t xml:space="preserve">r </w:t>
      </w:r>
      <w:r w:rsidR="00737F4D">
        <w:rPr>
          <w:rFonts w:ascii="Times New Roman" w:hAnsi="Times New Roman" w:cs="Times New Roman"/>
          <w:sz w:val="24"/>
          <w:szCs w:val="24"/>
        </w:rPr>
        <w:t xml:space="preserve">je síce </w:t>
      </w:r>
      <w:r w:rsidR="00857539">
        <w:rPr>
          <w:rFonts w:ascii="Times New Roman" w:hAnsi="Times New Roman" w:cs="Times New Roman"/>
          <w:sz w:val="24"/>
          <w:szCs w:val="24"/>
        </w:rPr>
        <w:t>integrovan</w:t>
      </w:r>
      <w:r w:rsidR="00737F4D">
        <w:rPr>
          <w:rFonts w:ascii="Times New Roman" w:hAnsi="Times New Roman" w:cs="Times New Roman"/>
          <w:sz w:val="24"/>
          <w:szCs w:val="24"/>
        </w:rPr>
        <w:t>ý politicky, ale je menej</w:t>
      </w:r>
      <w:r w:rsidR="00060A90">
        <w:rPr>
          <w:rFonts w:ascii="Times New Roman" w:hAnsi="Times New Roman" w:cs="Times New Roman"/>
          <w:sz w:val="24"/>
          <w:szCs w:val="24"/>
        </w:rPr>
        <w:t xml:space="preserve"> integrovaný ekonomicky ako ostatné sektory. </w:t>
      </w:r>
    </w:p>
    <w:p w:rsidR="00056FD0" w:rsidRDefault="00892544" w:rsidP="00147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766">
        <w:rPr>
          <w:rFonts w:ascii="Times New Roman" w:hAnsi="Times New Roman" w:cs="Times New Roman"/>
          <w:sz w:val="24"/>
          <w:szCs w:val="24"/>
        </w:rPr>
        <w:t>Založenie SPP v roku 1962 bolo nevyhnutnosťou pre Európske hospodárske spoločenstvo (EHS), predchodcu EÚ. Šesť zakladajúcich členov – Belgicko, Francúzsko, Nemecko, Luxembursko, Holandsko a Taliansko malo vlastné národné poľ</w:t>
      </w:r>
      <w:r w:rsidR="00F23D07">
        <w:rPr>
          <w:rFonts w:ascii="Times New Roman" w:hAnsi="Times New Roman" w:cs="Times New Roman"/>
          <w:sz w:val="24"/>
          <w:szCs w:val="24"/>
        </w:rPr>
        <w:t>nohospodárske politiky, ktoré boli výrazne odlišné</w:t>
      </w:r>
      <w:r w:rsidR="008E7766">
        <w:rPr>
          <w:rFonts w:ascii="Times New Roman" w:hAnsi="Times New Roman" w:cs="Times New Roman"/>
          <w:sz w:val="24"/>
          <w:szCs w:val="24"/>
        </w:rPr>
        <w:t>.</w:t>
      </w:r>
      <w:r w:rsidR="000B16B3">
        <w:rPr>
          <w:rFonts w:ascii="Times New Roman" w:hAnsi="Times New Roman" w:cs="Times New Roman"/>
          <w:sz w:val="24"/>
          <w:szCs w:val="24"/>
        </w:rPr>
        <w:t xml:space="preserve"> Jednotlivé krajiny neboli </w:t>
      </w:r>
      <w:r w:rsidR="00F23D07">
        <w:rPr>
          <w:rFonts w:ascii="Times New Roman" w:hAnsi="Times New Roman" w:cs="Times New Roman"/>
          <w:sz w:val="24"/>
          <w:szCs w:val="24"/>
        </w:rPr>
        <w:t>ochotné sa vzdať intervenčných nástrojov</w:t>
      </w:r>
      <w:r w:rsidR="000B16B3">
        <w:rPr>
          <w:rFonts w:ascii="Times New Roman" w:hAnsi="Times New Roman" w:cs="Times New Roman"/>
          <w:sz w:val="24"/>
          <w:szCs w:val="24"/>
        </w:rPr>
        <w:t xml:space="preserve"> na poľnohospodárskych trhoch alebo dovoliť voľný obchod medzi členskými krajinami, a tak sa riadiť pravidlami colnej únie.</w:t>
      </w:r>
      <w:r w:rsidR="00F23D07">
        <w:rPr>
          <w:rFonts w:ascii="Times New Roman" w:hAnsi="Times New Roman" w:cs="Times New Roman"/>
          <w:sz w:val="24"/>
          <w:szCs w:val="24"/>
        </w:rPr>
        <w:t xml:space="preserve"> Tieto záujmy</w:t>
      </w:r>
      <w:r w:rsidR="00050C12">
        <w:rPr>
          <w:rFonts w:ascii="Times New Roman" w:hAnsi="Times New Roman" w:cs="Times New Roman"/>
          <w:sz w:val="24"/>
          <w:szCs w:val="24"/>
        </w:rPr>
        <w:t xml:space="preserve"> nevylúčil</w:t>
      </w:r>
      <w:r w:rsidR="00F23D07">
        <w:rPr>
          <w:rFonts w:ascii="Times New Roman" w:hAnsi="Times New Roman" w:cs="Times New Roman"/>
          <w:sz w:val="24"/>
          <w:szCs w:val="24"/>
        </w:rPr>
        <w:t>i</w:t>
      </w:r>
      <w:r w:rsidR="00050C12">
        <w:rPr>
          <w:rFonts w:ascii="Times New Roman" w:hAnsi="Times New Roman" w:cs="Times New Roman"/>
          <w:sz w:val="24"/>
          <w:szCs w:val="24"/>
        </w:rPr>
        <w:t xml:space="preserve"> poľnohospodárstvo z trhovej integrácie, ale mala miernejš</w:t>
      </w:r>
      <w:r w:rsidR="00707A35">
        <w:rPr>
          <w:rFonts w:ascii="Times New Roman" w:hAnsi="Times New Roman" w:cs="Times New Roman"/>
          <w:sz w:val="24"/>
          <w:szCs w:val="24"/>
        </w:rPr>
        <w:t xml:space="preserve">ie tempo, no politické </w:t>
      </w:r>
      <w:r w:rsidR="00050C12">
        <w:rPr>
          <w:rFonts w:ascii="Times New Roman" w:hAnsi="Times New Roman" w:cs="Times New Roman"/>
          <w:sz w:val="24"/>
          <w:szCs w:val="24"/>
        </w:rPr>
        <w:t xml:space="preserve">súťaženie </w:t>
      </w:r>
      <w:r w:rsidR="00707A35">
        <w:rPr>
          <w:rFonts w:ascii="Times New Roman" w:hAnsi="Times New Roman" w:cs="Times New Roman"/>
          <w:sz w:val="24"/>
          <w:szCs w:val="24"/>
        </w:rPr>
        <w:t>bolo vysoké. Francúzsko požadovalo</w:t>
      </w:r>
      <w:r w:rsidR="00050C12">
        <w:rPr>
          <w:rFonts w:ascii="Times New Roman" w:hAnsi="Times New Roman" w:cs="Times New Roman"/>
          <w:sz w:val="24"/>
          <w:szCs w:val="24"/>
        </w:rPr>
        <w:t xml:space="preserve"> vstup na veľký nemecký trh pre svoj</w:t>
      </w:r>
      <w:r w:rsidR="00707A35">
        <w:rPr>
          <w:rFonts w:ascii="Times New Roman" w:hAnsi="Times New Roman" w:cs="Times New Roman"/>
          <w:sz w:val="24"/>
          <w:szCs w:val="24"/>
        </w:rPr>
        <w:t xml:space="preserve">e poľnohospodárske výrobky, ale na druhej strane </w:t>
      </w:r>
      <w:r w:rsidR="00050C12">
        <w:rPr>
          <w:rFonts w:ascii="Times New Roman" w:hAnsi="Times New Roman" w:cs="Times New Roman"/>
          <w:sz w:val="24"/>
          <w:szCs w:val="24"/>
        </w:rPr>
        <w:t xml:space="preserve">muselo umožniť nemeckým priemyselným výrobkom vstúpiť na jeho trh. </w:t>
      </w:r>
      <w:r w:rsidR="006E3918">
        <w:rPr>
          <w:rFonts w:ascii="Times New Roman" w:hAnsi="Times New Roman" w:cs="Times New Roman"/>
          <w:sz w:val="24"/>
          <w:szCs w:val="24"/>
        </w:rPr>
        <w:t>A preto bolo nevyhnutné stanoviť organizačný a inštitucionálny rámec</w:t>
      </w:r>
      <w:r w:rsidR="00056FD0">
        <w:rPr>
          <w:rFonts w:ascii="Times New Roman" w:hAnsi="Times New Roman" w:cs="Times New Roman"/>
          <w:sz w:val="24"/>
          <w:szCs w:val="24"/>
        </w:rPr>
        <w:t xml:space="preserve"> pre poľnohospodársku politiku na</w:t>
      </w:r>
      <w:r w:rsidR="006E3918">
        <w:rPr>
          <w:rFonts w:ascii="Times New Roman" w:hAnsi="Times New Roman" w:cs="Times New Roman"/>
          <w:sz w:val="24"/>
          <w:szCs w:val="24"/>
        </w:rPr>
        <w:t> </w:t>
      </w:r>
      <w:r w:rsidR="00056FD0">
        <w:rPr>
          <w:rFonts w:ascii="Times New Roman" w:hAnsi="Times New Roman" w:cs="Times New Roman"/>
          <w:sz w:val="24"/>
          <w:szCs w:val="24"/>
        </w:rPr>
        <w:t>úrovni</w:t>
      </w:r>
      <w:r w:rsidR="006E3918">
        <w:rPr>
          <w:rFonts w:ascii="Times New Roman" w:hAnsi="Times New Roman" w:cs="Times New Roman"/>
          <w:sz w:val="24"/>
          <w:szCs w:val="24"/>
        </w:rPr>
        <w:t xml:space="preserve"> Spoločenstva.</w:t>
      </w:r>
    </w:p>
    <w:p w:rsidR="0044775F" w:rsidRDefault="005D7D99" w:rsidP="00147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Inštitucionálny rámec bol daný založením SPP, ktorá bola kompromisom pri uspokojovaní rôznorodých záujmov členských krajín. Pod tlakom Nemecka EHS rozhodlo o zavedení spoločnej cenovej úrovne pre poľnohospodárske produkty, ktorá bola významne vyššia ako </w:t>
      </w:r>
      <w:r w:rsidR="00C05948">
        <w:rPr>
          <w:rFonts w:ascii="Times New Roman" w:hAnsi="Times New Roman" w:cs="Times New Roman"/>
          <w:sz w:val="24"/>
          <w:szCs w:val="24"/>
        </w:rPr>
        <w:t>úrovne na svetovom trhu a zaviedla reguláciu na hraniciach</w:t>
      </w:r>
      <w:r w:rsidR="003E02A4">
        <w:rPr>
          <w:rFonts w:ascii="Times New Roman" w:hAnsi="Times New Roman" w:cs="Times New Roman"/>
          <w:sz w:val="24"/>
          <w:szCs w:val="24"/>
        </w:rPr>
        <w:t xml:space="preserve"> (obchodné prekážky)</w:t>
      </w:r>
      <w:r w:rsidR="00C05948">
        <w:rPr>
          <w:rFonts w:ascii="Times New Roman" w:hAnsi="Times New Roman" w:cs="Times New Roman"/>
          <w:sz w:val="24"/>
          <w:szCs w:val="24"/>
        </w:rPr>
        <w:t xml:space="preserve">, čo úplne odpojilo ceny v EHS od cien na svetovom trhu. </w:t>
      </w:r>
      <w:r w:rsidR="00B22864">
        <w:rPr>
          <w:rFonts w:ascii="Times New Roman" w:hAnsi="Times New Roman" w:cs="Times New Roman"/>
          <w:sz w:val="24"/>
          <w:szCs w:val="24"/>
        </w:rPr>
        <w:t>Vývoj SPP dokázal, že tieto nástroje obmedzili SPP v jej adaptácii na zmenené podmienky v Spoločenstve a aj na svetovom trhu.</w:t>
      </w:r>
    </w:p>
    <w:p w:rsidR="00D02A62" w:rsidRDefault="00A90BB4" w:rsidP="00147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Spoločná organizácia trhu</w:t>
      </w:r>
      <w:r w:rsidR="00D273DA">
        <w:rPr>
          <w:rFonts w:ascii="Times New Roman" w:hAnsi="Times New Roman" w:cs="Times New Roman"/>
          <w:sz w:val="24"/>
          <w:szCs w:val="24"/>
        </w:rPr>
        <w:t xml:space="preserve"> SPP</w:t>
      </w:r>
      <w:r w:rsidR="00D325EF">
        <w:rPr>
          <w:rFonts w:ascii="Times New Roman" w:hAnsi="Times New Roman" w:cs="Times New Roman"/>
          <w:sz w:val="24"/>
          <w:szCs w:val="24"/>
        </w:rPr>
        <w:t xml:space="preserve"> (trhové poriadky)</w:t>
      </w:r>
      <w:r w:rsidR="00D273DA">
        <w:rPr>
          <w:rFonts w:ascii="Times New Roman" w:hAnsi="Times New Roman" w:cs="Times New Roman"/>
          <w:sz w:val="24"/>
          <w:szCs w:val="24"/>
        </w:rPr>
        <w:t xml:space="preserve"> regulovala </w:t>
      </w:r>
      <w:r>
        <w:rPr>
          <w:rFonts w:ascii="Times New Roman" w:hAnsi="Times New Roman" w:cs="Times New Roman"/>
          <w:sz w:val="24"/>
          <w:szCs w:val="24"/>
        </w:rPr>
        <w:t xml:space="preserve">hlavné </w:t>
      </w:r>
      <w:r w:rsidR="00D325EF">
        <w:rPr>
          <w:rFonts w:ascii="Times New Roman" w:hAnsi="Times New Roman" w:cs="Times New Roman"/>
          <w:sz w:val="24"/>
          <w:szCs w:val="24"/>
        </w:rPr>
        <w:t xml:space="preserve">poľnohospodárske produkty. </w:t>
      </w:r>
      <w:r w:rsidR="007F4204">
        <w:rPr>
          <w:rFonts w:ascii="Times New Roman" w:hAnsi="Times New Roman" w:cs="Times New Roman"/>
          <w:sz w:val="24"/>
          <w:szCs w:val="24"/>
        </w:rPr>
        <w:t xml:space="preserve">Cieľom bolo udržať domáce poľnohospodárske ceny nad úrovňou svetových trhových cien. </w:t>
      </w:r>
      <w:r w:rsidR="008A3534">
        <w:rPr>
          <w:rFonts w:ascii="Times New Roman" w:hAnsi="Times New Roman" w:cs="Times New Roman"/>
          <w:sz w:val="24"/>
          <w:szCs w:val="24"/>
        </w:rPr>
        <w:t>Premen</w:t>
      </w:r>
      <w:r w:rsidR="001D2ED4">
        <w:rPr>
          <w:rFonts w:ascii="Times New Roman" w:hAnsi="Times New Roman" w:cs="Times New Roman"/>
          <w:sz w:val="24"/>
          <w:szCs w:val="24"/>
        </w:rPr>
        <w:t>livé clo</w:t>
      </w:r>
      <w:r w:rsidR="008A3534">
        <w:rPr>
          <w:rFonts w:ascii="Times New Roman" w:hAnsi="Times New Roman" w:cs="Times New Roman"/>
          <w:sz w:val="24"/>
          <w:szCs w:val="24"/>
        </w:rPr>
        <w:t xml:space="preserve"> </w:t>
      </w:r>
      <w:r w:rsidR="001D2ED4">
        <w:rPr>
          <w:rFonts w:ascii="Times New Roman" w:hAnsi="Times New Roman" w:cs="Times New Roman"/>
          <w:sz w:val="24"/>
          <w:szCs w:val="24"/>
        </w:rPr>
        <w:t>(</w:t>
      </w:r>
      <w:r w:rsidR="008A3534">
        <w:rPr>
          <w:rFonts w:ascii="Times New Roman" w:hAnsi="Times New Roman" w:cs="Times New Roman"/>
          <w:sz w:val="24"/>
          <w:szCs w:val="24"/>
        </w:rPr>
        <w:t>daň</w:t>
      </w:r>
      <w:r w:rsidR="001D2ED4">
        <w:rPr>
          <w:rFonts w:ascii="Times New Roman" w:hAnsi="Times New Roman" w:cs="Times New Roman"/>
          <w:sz w:val="24"/>
          <w:szCs w:val="24"/>
        </w:rPr>
        <w:t>) bolo implementované ako hodnota</w:t>
      </w:r>
      <w:r w:rsidR="00D325EF">
        <w:rPr>
          <w:rFonts w:ascii="Times New Roman" w:hAnsi="Times New Roman" w:cs="Times New Roman"/>
          <w:sz w:val="24"/>
          <w:szCs w:val="24"/>
        </w:rPr>
        <w:t>, ktorá vypĺňala</w:t>
      </w:r>
      <w:r w:rsidR="001D2ED4">
        <w:rPr>
          <w:rFonts w:ascii="Times New Roman" w:hAnsi="Times New Roman" w:cs="Times New Roman"/>
          <w:sz w:val="24"/>
          <w:szCs w:val="24"/>
        </w:rPr>
        <w:t xml:space="preserve"> medzeru</w:t>
      </w:r>
      <w:r w:rsidR="008A3534">
        <w:rPr>
          <w:rFonts w:ascii="Times New Roman" w:hAnsi="Times New Roman" w:cs="Times New Roman"/>
          <w:sz w:val="24"/>
          <w:szCs w:val="24"/>
        </w:rPr>
        <w:t xml:space="preserve"> medzi domácimi poľnohospodárskymi cenami a zodpovedajúcimi svetovými trhovými cenami. Daň sa menila spolu </w:t>
      </w:r>
      <w:r w:rsidR="007578E6">
        <w:rPr>
          <w:rFonts w:ascii="Times New Roman" w:hAnsi="Times New Roman" w:cs="Times New Roman"/>
          <w:sz w:val="24"/>
          <w:szCs w:val="24"/>
        </w:rPr>
        <w:t>so svetovými cenami, teda s rastom</w:t>
      </w:r>
      <w:r w:rsidR="008A3534">
        <w:rPr>
          <w:rFonts w:ascii="Times New Roman" w:hAnsi="Times New Roman" w:cs="Times New Roman"/>
          <w:sz w:val="24"/>
          <w:szCs w:val="24"/>
        </w:rPr>
        <w:t xml:space="preserve"> </w:t>
      </w:r>
      <w:r w:rsidR="007578E6">
        <w:rPr>
          <w:rFonts w:ascii="Times New Roman" w:hAnsi="Times New Roman" w:cs="Times New Roman"/>
          <w:sz w:val="24"/>
          <w:szCs w:val="24"/>
        </w:rPr>
        <w:t>svetových cien sa daň znižovala. Daň upravila svetové ceny na ceny dohodnuté Spoločenstvom, a</w:t>
      </w:r>
      <w:r w:rsidR="001D2ED4">
        <w:rPr>
          <w:rFonts w:ascii="Times New Roman" w:hAnsi="Times New Roman" w:cs="Times New Roman"/>
          <w:sz w:val="24"/>
          <w:szCs w:val="24"/>
        </w:rPr>
        <w:t> až potom mohli zahraničné tovary</w:t>
      </w:r>
      <w:r w:rsidR="007578E6">
        <w:rPr>
          <w:rFonts w:ascii="Times New Roman" w:hAnsi="Times New Roman" w:cs="Times New Roman"/>
          <w:sz w:val="24"/>
          <w:szCs w:val="24"/>
        </w:rPr>
        <w:t xml:space="preserve"> vstúpiť na trh Spoločenstva. </w:t>
      </w:r>
      <w:r w:rsidR="00C33C96">
        <w:rPr>
          <w:rFonts w:ascii="Times New Roman" w:hAnsi="Times New Roman" w:cs="Times New Roman"/>
          <w:sz w:val="24"/>
          <w:szCs w:val="24"/>
        </w:rPr>
        <w:t xml:space="preserve">Od </w:t>
      </w:r>
      <w:r w:rsidR="001D2ED4">
        <w:rPr>
          <w:rFonts w:ascii="Times New Roman" w:hAnsi="Times New Roman" w:cs="Times New Roman"/>
          <w:sz w:val="24"/>
          <w:szCs w:val="24"/>
        </w:rPr>
        <w:t xml:space="preserve">svojho </w:t>
      </w:r>
      <w:r w:rsidR="00C33C96">
        <w:rPr>
          <w:rFonts w:ascii="Times New Roman" w:hAnsi="Times New Roman" w:cs="Times New Roman"/>
          <w:sz w:val="24"/>
          <w:szCs w:val="24"/>
        </w:rPr>
        <w:t>vzniku SPP poskytovala aj exportné dotácie</w:t>
      </w:r>
      <w:r w:rsidR="00D325EF">
        <w:rPr>
          <w:rFonts w:ascii="Times New Roman" w:hAnsi="Times New Roman" w:cs="Times New Roman"/>
          <w:sz w:val="24"/>
          <w:szCs w:val="24"/>
        </w:rPr>
        <w:t>, poskytovali sa v prípade, ak</w:t>
      </w:r>
      <w:r w:rsidR="00C33C96">
        <w:rPr>
          <w:rFonts w:ascii="Times New Roman" w:hAnsi="Times New Roman" w:cs="Times New Roman"/>
          <w:sz w:val="24"/>
          <w:szCs w:val="24"/>
        </w:rPr>
        <w:t xml:space="preserve"> domáca pro</w:t>
      </w:r>
      <w:r w:rsidR="001D2ED4">
        <w:rPr>
          <w:rFonts w:ascii="Times New Roman" w:hAnsi="Times New Roman" w:cs="Times New Roman"/>
          <w:sz w:val="24"/>
          <w:szCs w:val="24"/>
        </w:rPr>
        <w:t>dukcia predbehla domácu spotrebu</w:t>
      </w:r>
      <w:r w:rsidR="00C33C96">
        <w:rPr>
          <w:rFonts w:ascii="Times New Roman" w:hAnsi="Times New Roman" w:cs="Times New Roman"/>
          <w:sz w:val="24"/>
          <w:szCs w:val="24"/>
        </w:rPr>
        <w:t xml:space="preserve">. Pri priemyselných produktoch boli exportné dotácie odstránené a sadzby importných ciel mali strop dohodnutý Spoločenstvom, no obchodný režim poľnohospodárskych produktov zostal nezmenený. </w:t>
      </w:r>
    </w:p>
    <w:p w:rsidR="0011249F" w:rsidRDefault="00D02A62" w:rsidP="00147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Navyše</w:t>
      </w:r>
      <w:r w:rsidR="009B4A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spoločná organizácia trhu zahŕňala aj domácu </w:t>
      </w:r>
      <w:r w:rsidR="003B01E4">
        <w:rPr>
          <w:rFonts w:ascii="Times New Roman" w:hAnsi="Times New Roman" w:cs="Times New Roman"/>
          <w:sz w:val="24"/>
          <w:szCs w:val="24"/>
        </w:rPr>
        <w:t>mieru ochrany.</w:t>
      </w:r>
      <w:r w:rsidR="007F35DA">
        <w:rPr>
          <w:rFonts w:ascii="Times New Roman" w:hAnsi="Times New Roman" w:cs="Times New Roman"/>
          <w:sz w:val="24"/>
          <w:szCs w:val="24"/>
        </w:rPr>
        <w:t xml:space="preserve"> Príkladom sú </w:t>
      </w:r>
      <w:r>
        <w:rPr>
          <w:rFonts w:ascii="Times New Roman" w:hAnsi="Times New Roman" w:cs="Times New Roman"/>
          <w:sz w:val="24"/>
          <w:szCs w:val="24"/>
        </w:rPr>
        <w:t>garantované nákupy</w:t>
      </w:r>
      <w:r w:rsidR="008D01C2">
        <w:rPr>
          <w:rFonts w:ascii="Times New Roman" w:hAnsi="Times New Roman" w:cs="Times New Roman"/>
          <w:sz w:val="24"/>
          <w:szCs w:val="24"/>
        </w:rPr>
        <w:t xml:space="preserve"> komodít</w:t>
      </w:r>
      <w:r>
        <w:rPr>
          <w:rFonts w:ascii="Times New Roman" w:hAnsi="Times New Roman" w:cs="Times New Roman"/>
          <w:sz w:val="24"/>
          <w:szCs w:val="24"/>
        </w:rPr>
        <w:t xml:space="preserve"> prostredníctvom štátn</w:t>
      </w:r>
      <w:r w:rsidR="008D01C2">
        <w:rPr>
          <w:rFonts w:ascii="Times New Roman" w:hAnsi="Times New Roman" w:cs="Times New Roman"/>
          <w:sz w:val="24"/>
          <w:szCs w:val="24"/>
        </w:rPr>
        <w:t>ych agentúr</w:t>
      </w:r>
      <w:r>
        <w:rPr>
          <w:rFonts w:ascii="Times New Roman" w:hAnsi="Times New Roman" w:cs="Times New Roman"/>
          <w:sz w:val="24"/>
          <w:szCs w:val="24"/>
        </w:rPr>
        <w:t xml:space="preserve">, ako napr. maslo, sušené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odstredené mlieko, obilie a cukor </w:t>
      </w:r>
      <w:r w:rsidR="00E445C1">
        <w:rPr>
          <w:rFonts w:ascii="Times New Roman" w:hAnsi="Times New Roman" w:cs="Times New Roman"/>
          <w:sz w:val="24"/>
          <w:szCs w:val="24"/>
        </w:rPr>
        <w:t xml:space="preserve">za intervenčné ceny. </w:t>
      </w:r>
      <w:r w:rsidR="00153770">
        <w:rPr>
          <w:rFonts w:ascii="Times New Roman" w:hAnsi="Times New Roman" w:cs="Times New Roman"/>
          <w:sz w:val="24"/>
          <w:szCs w:val="24"/>
        </w:rPr>
        <w:t>Ochranný režim pre cukor bol výnimočný, zahŕňal intervenčnú cenu pre cukor, minimálnu nákupnú cenu pre c</w:t>
      </w:r>
      <w:r w:rsidR="00AD45C4">
        <w:rPr>
          <w:rFonts w:ascii="Times New Roman" w:hAnsi="Times New Roman" w:cs="Times New Roman"/>
          <w:sz w:val="24"/>
          <w:szCs w:val="24"/>
        </w:rPr>
        <w:t>ukrovú repu a produkčnú kvótu. Z</w:t>
      </w:r>
      <w:r w:rsidR="00153770">
        <w:rPr>
          <w:rFonts w:ascii="Times New Roman" w:hAnsi="Times New Roman" w:cs="Times New Roman"/>
          <w:sz w:val="24"/>
          <w:szCs w:val="24"/>
        </w:rPr>
        <w:t>a množstvá nad pridelenú kvótu poľnohospodári dostávali svetovú trhovú cenu.</w:t>
      </w:r>
      <w:r w:rsidR="00584187">
        <w:rPr>
          <w:rFonts w:ascii="Times New Roman" w:hAnsi="Times New Roman" w:cs="Times New Roman"/>
          <w:sz w:val="24"/>
          <w:szCs w:val="24"/>
        </w:rPr>
        <w:t xml:space="preserve"> Trhový poriadok na cukor bol veľmi vzdialený od princípov voľného trhu, skôr bol porovnateľný s</w:t>
      </w:r>
      <w:r w:rsidR="0035733C">
        <w:rPr>
          <w:rFonts w:ascii="Times New Roman" w:hAnsi="Times New Roman" w:cs="Times New Roman"/>
          <w:sz w:val="24"/>
          <w:szCs w:val="24"/>
        </w:rPr>
        <w:t> </w:t>
      </w:r>
      <w:r w:rsidR="00584187">
        <w:rPr>
          <w:rFonts w:ascii="Times New Roman" w:hAnsi="Times New Roman" w:cs="Times New Roman"/>
          <w:sz w:val="24"/>
          <w:szCs w:val="24"/>
        </w:rPr>
        <w:t>nástrojmi</w:t>
      </w:r>
      <w:r w:rsidR="0035733C">
        <w:rPr>
          <w:rFonts w:ascii="Times New Roman" w:hAnsi="Times New Roman" w:cs="Times New Roman"/>
          <w:sz w:val="24"/>
          <w:szCs w:val="24"/>
        </w:rPr>
        <w:t>, ktoré sa používali</w:t>
      </w:r>
      <w:r w:rsidR="00584187">
        <w:rPr>
          <w:rFonts w:ascii="Times New Roman" w:hAnsi="Times New Roman" w:cs="Times New Roman"/>
          <w:sz w:val="24"/>
          <w:szCs w:val="24"/>
        </w:rPr>
        <w:t xml:space="preserve"> v centrálne plánovaných ekonomikách.</w:t>
      </w:r>
    </w:p>
    <w:p w:rsidR="004E74A0" w:rsidRDefault="00A27FD4" w:rsidP="00147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Inštitucionálne ceny boli hlavným ná</w:t>
      </w:r>
      <w:r w:rsidR="00D12B81">
        <w:rPr>
          <w:rFonts w:ascii="Times New Roman" w:hAnsi="Times New Roman" w:cs="Times New Roman"/>
          <w:sz w:val="24"/>
          <w:szCs w:val="24"/>
        </w:rPr>
        <w:t>strojom trhových poriadkov. Rada</w:t>
      </w:r>
      <w:r w:rsidR="008D01C2">
        <w:rPr>
          <w:rFonts w:ascii="Times New Roman" w:hAnsi="Times New Roman" w:cs="Times New Roman"/>
          <w:sz w:val="24"/>
          <w:szCs w:val="24"/>
        </w:rPr>
        <w:t xml:space="preserve"> ministro</w:t>
      </w:r>
      <w:r w:rsidR="004D6273">
        <w:rPr>
          <w:rFonts w:ascii="Times New Roman" w:hAnsi="Times New Roman" w:cs="Times New Roman"/>
          <w:sz w:val="24"/>
          <w:szCs w:val="24"/>
        </w:rPr>
        <w:t xml:space="preserve">v, ktorá je zložená z ministrov </w:t>
      </w:r>
      <w:r w:rsidR="008D01C2">
        <w:rPr>
          <w:rFonts w:ascii="Times New Roman" w:hAnsi="Times New Roman" w:cs="Times New Roman"/>
          <w:sz w:val="24"/>
          <w:szCs w:val="24"/>
        </w:rPr>
        <w:t>poľn</w:t>
      </w:r>
      <w:r w:rsidR="004D6273">
        <w:rPr>
          <w:rFonts w:ascii="Times New Roman" w:hAnsi="Times New Roman" w:cs="Times New Roman"/>
          <w:sz w:val="24"/>
          <w:szCs w:val="24"/>
        </w:rPr>
        <w:t>ohospodárstva členských krajín, rozhodla o zmenách</w:t>
      </w:r>
      <w:r w:rsidR="00100811">
        <w:rPr>
          <w:rFonts w:ascii="Times New Roman" w:hAnsi="Times New Roman" w:cs="Times New Roman"/>
          <w:sz w:val="24"/>
          <w:szCs w:val="24"/>
        </w:rPr>
        <w:t xml:space="preserve"> v</w:t>
      </w:r>
      <w:r w:rsidR="006F50AF">
        <w:rPr>
          <w:rFonts w:ascii="Times New Roman" w:hAnsi="Times New Roman" w:cs="Times New Roman"/>
          <w:sz w:val="24"/>
          <w:szCs w:val="24"/>
        </w:rPr>
        <w:t> inštitucionálnych cenách.</w:t>
      </w:r>
      <w:r w:rsidR="00100811">
        <w:rPr>
          <w:rFonts w:ascii="Times New Roman" w:hAnsi="Times New Roman" w:cs="Times New Roman"/>
          <w:sz w:val="24"/>
          <w:szCs w:val="24"/>
        </w:rPr>
        <w:t xml:space="preserve"> </w:t>
      </w:r>
      <w:r w:rsidR="00F460EB">
        <w:rPr>
          <w:rFonts w:ascii="Times New Roman" w:hAnsi="Times New Roman" w:cs="Times New Roman"/>
          <w:sz w:val="24"/>
          <w:szCs w:val="24"/>
        </w:rPr>
        <w:t>Tieto zmeny nemali</w:t>
      </w:r>
      <w:r w:rsidR="009569CF">
        <w:rPr>
          <w:rFonts w:ascii="Times New Roman" w:hAnsi="Times New Roman" w:cs="Times New Roman"/>
          <w:sz w:val="24"/>
          <w:szCs w:val="24"/>
        </w:rPr>
        <w:t xml:space="preserve"> stanovené objektívne kritériá, a tak do procesu úpravy</w:t>
      </w:r>
      <w:r w:rsidR="006F50AF">
        <w:rPr>
          <w:rFonts w:ascii="Times New Roman" w:hAnsi="Times New Roman" w:cs="Times New Roman"/>
          <w:sz w:val="24"/>
          <w:szCs w:val="24"/>
        </w:rPr>
        <w:t xml:space="preserve"> cien vstupovali politické záujmy</w:t>
      </w:r>
      <w:r w:rsidR="009569CF">
        <w:rPr>
          <w:rFonts w:ascii="Times New Roman" w:hAnsi="Times New Roman" w:cs="Times New Roman"/>
          <w:sz w:val="24"/>
          <w:szCs w:val="24"/>
        </w:rPr>
        <w:t xml:space="preserve">. </w:t>
      </w:r>
      <w:r w:rsidR="00FC3222">
        <w:rPr>
          <w:rFonts w:ascii="Times New Roman" w:hAnsi="Times New Roman" w:cs="Times New Roman"/>
          <w:sz w:val="24"/>
          <w:szCs w:val="24"/>
        </w:rPr>
        <w:t>Národné záujmy</w:t>
      </w:r>
      <w:r w:rsidR="0008309B">
        <w:rPr>
          <w:rFonts w:ascii="Times New Roman" w:hAnsi="Times New Roman" w:cs="Times New Roman"/>
          <w:sz w:val="24"/>
          <w:szCs w:val="24"/>
        </w:rPr>
        <w:t xml:space="preserve"> členov</w:t>
      </w:r>
      <w:r w:rsidR="00FC3222">
        <w:rPr>
          <w:rFonts w:ascii="Times New Roman" w:hAnsi="Times New Roman" w:cs="Times New Roman"/>
          <w:sz w:val="24"/>
          <w:szCs w:val="24"/>
        </w:rPr>
        <w:t xml:space="preserve"> boli výrazne o</w:t>
      </w:r>
      <w:r w:rsidR="0008309B">
        <w:rPr>
          <w:rFonts w:ascii="Times New Roman" w:hAnsi="Times New Roman" w:cs="Times New Roman"/>
          <w:sz w:val="24"/>
          <w:szCs w:val="24"/>
        </w:rPr>
        <w:t>dlišné, čiastočne kvôli rozdielom v ich ekonomi</w:t>
      </w:r>
      <w:r w:rsidR="00FC3222">
        <w:rPr>
          <w:rFonts w:ascii="Times New Roman" w:hAnsi="Times New Roman" w:cs="Times New Roman"/>
          <w:sz w:val="24"/>
          <w:szCs w:val="24"/>
        </w:rPr>
        <w:t>k</w:t>
      </w:r>
      <w:r w:rsidR="0008309B">
        <w:rPr>
          <w:rFonts w:ascii="Times New Roman" w:hAnsi="Times New Roman" w:cs="Times New Roman"/>
          <w:sz w:val="24"/>
          <w:szCs w:val="24"/>
        </w:rPr>
        <w:t>ách</w:t>
      </w:r>
      <w:r w:rsidR="00FC3222">
        <w:rPr>
          <w:rFonts w:ascii="Times New Roman" w:hAnsi="Times New Roman" w:cs="Times New Roman"/>
          <w:sz w:val="24"/>
          <w:szCs w:val="24"/>
        </w:rPr>
        <w:t xml:space="preserve"> </w:t>
      </w:r>
      <w:r w:rsidR="0008309B">
        <w:rPr>
          <w:rFonts w:ascii="Times New Roman" w:hAnsi="Times New Roman" w:cs="Times New Roman"/>
          <w:sz w:val="24"/>
          <w:szCs w:val="24"/>
        </w:rPr>
        <w:t>(</w:t>
      </w:r>
      <w:r w:rsidR="00FC3222">
        <w:rPr>
          <w:rFonts w:ascii="Times New Roman" w:hAnsi="Times New Roman" w:cs="Times New Roman"/>
          <w:sz w:val="24"/>
          <w:szCs w:val="24"/>
        </w:rPr>
        <w:t>ako napr. inflácia, celkový rast a rozdielna produktivita v</w:t>
      </w:r>
      <w:r w:rsidR="0008309B">
        <w:rPr>
          <w:rFonts w:ascii="Times New Roman" w:hAnsi="Times New Roman" w:cs="Times New Roman"/>
          <w:sz w:val="24"/>
          <w:szCs w:val="24"/>
        </w:rPr>
        <w:t> </w:t>
      </w:r>
      <w:r w:rsidR="00FC3222">
        <w:rPr>
          <w:rFonts w:ascii="Times New Roman" w:hAnsi="Times New Roman" w:cs="Times New Roman"/>
          <w:sz w:val="24"/>
          <w:szCs w:val="24"/>
        </w:rPr>
        <w:t>poľnohospodárstve</w:t>
      </w:r>
      <w:r w:rsidR="0008309B">
        <w:rPr>
          <w:rFonts w:ascii="Times New Roman" w:hAnsi="Times New Roman" w:cs="Times New Roman"/>
          <w:sz w:val="24"/>
          <w:szCs w:val="24"/>
        </w:rPr>
        <w:t>)</w:t>
      </w:r>
      <w:r w:rsidR="00FC3222">
        <w:rPr>
          <w:rFonts w:ascii="Times New Roman" w:hAnsi="Times New Roman" w:cs="Times New Roman"/>
          <w:sz w:val="24"/>
          <w:szCs w:val="24"/>
        </w:rPr>
        <w:t xml:space="preserve">. </w:t>
      </w:r>
      <w:r w:rsidR="00237625">
        <w:rPr>
          <w:rFonts w:ascii="Times New Roman" w:hAnsi="Times New Roman" w:cs="Times New Roman"/>
          <w:sz w:val="24"/>
          <w:szCs w:val="24"/>
        </w:rPr>
        <w:t>Navyše rámec, ktorým s</w:t>
      </w:r>
      <w:r w:rsidR="0008309B">
        <w:rPr>
          <w:rFonts w:ascii="Times New Roman" w:hAnsi="Times New Roman" w:cs="Times New Roman"/>
          <w:sz w:val="24"/>
          <w:szCs w:val="24"/>
        </w:rPr>
        <w:t>a zaviedlo financovanie SPP</w:t>
      </w:r>
      <w:r w:rsidR="00237625">
        <w:rPr>
          <w:rFonts w:ascii="Times New Roman" w:hAnsi="Times New Roman" w:cs="Times New Roman"/>
          <w:sz w:val="24"/>
          <w:szCs w:val="24"/>
        </w:rPr>
        <w:t xml:space="preserve"> zvýraznil </w:t>
      </w:r>
      <w:r w:rsidR="0008309B">
        <w:rPr>
          <w:rFonts w:ascii="Times New Roman" w:hAnsi="Times New Roman" w:cs="Times New Roman"/>
          <w:sz w:val="24"/>
          <w:szCs w:val="24"/>
        </w:rPr>
        <w:t xml:space="preserve">tieto </w:t>
      </w:r>
      <w:r w:rsidR="00237625">
        <w:rPr>
          <w:rFonts w:ascii="Times New Roman" w:hAnsi="Times New Roman" w:cs="Times New Roman"/>
          <w:sz w:val="24"/>
          <w:szCs w:val="24"/>
        </w:rPr>
        <w:t xml:space="preserve">odlišnosti v národných záujmoch. </w:t>
      </w:r>
      <w:r w:rsidR="00F13DED">
        <w:rPr>
          <w:rFonts w:ascii="Times New Roman" w:hAnsi="Times New Roman" w:cs="Times New Roman"/>
          <w:sz w:val="24"/>
          <w:szCs w:val="24"/>
        </w:rPr>
        <w:t xml:space="preserve">EÚ upravila princípy finančnej solidarity, ktoré zabezpečili, že politiky implementované na úrovni Spoločenstva by mali byť financované zo spoločného rozpočtu. </w:t>
      </w:r>
      <w:r w:rsidR="0048302D">
        <w:rPr>
          <w:rFonts w:ascii="Times New Roman" w:hAnsi="Times New Roman" w:cs="Times New Roman"/>
          <w:sz w:val="24"/>
          <w:szCs w:val="24"/>
        </w:rPr>
        <w:t xml:space="preserve">Keďže EÚ nevytvára príjmy, príspevok do spoločného rozpočtu pochádza buď z rozpočtov členských krajín alebo z importných ciel, teda členské krajiny sa dobrovoľne vzdali ich príjmu z ciel v prospech rozpočtu Spoločenstva. </w:t>
      </w:r>
      <w:r w:rsidR="0008309B">
        <w:rPr>
          <w:rFonts w:ascii="Times New Roman" w:hAnsi="Times New Roman" w:cs="Times New Roman"/>
          <w:sz w:val="24"/>
          <w:szCs w:val="24"/>
        </w:rPr>
        <w:t>Táto politika nebola prospešná</w:t>
      </w:r>
      <w:r w:rsidR="00055A31">
        <w:rPr>
          <w:rFonts w:ascii="Times New Roman" w:hAnsi="Times New Roman" w:cs="Times New Roman"/>
          <w:sz w:val="24"/>
          <w:szCs w:val="24"/>
        </w:rPr>
        <w:t xml:space="preserve"> pre všetky krajiny. </w:t>
      </w:r>
      <w:r w:rsidR="00F96F51">
        <w:rPr>
          <w:rFonts w:ascii="Times New Roman" w:hAnsi="Times New Roman" w:cs="Times New Roman"/>
          <w:sz w:val="24"/>
          <w:szCs w:val="24"/>
        </w:rPr>
        <w:t>Napríklad Holandsko bolo tradične veľkým exportérom mliečnych produktov</w:t>
      </w:r>
      <w:r w:rsidR="001375DF">
        <w:rPr>
          <w:rFonts w:ascii="Times New Roman" w:hAnsi="Times New Roman" w:cs="Times New Roman"/>
          <w:sz w:val="24"/>
          <w:szCs w:val="24"/>
        </w:rPr>
        <w:t>, rozhodnutie politiky zvýšiť</w:t>
      </w:r>
      <w:r w:rsidR="003B3174">
        <w:rPr>
          <w:rFonts w:ascii="Times New Roman" w:hAnsi="Times New Roman" w:cs="Times New Roman"/>
          <w:sz w:val="24"/>
          <w:szCs w:val="24"/>
        </w:rPr>
        <w:t xml:space="preserve"> ceny mlieka</w:t>
      </w:r>
      <w:r w:rsidR="005075D8">
        <w:rPr>
          <w:rFonts w:ascii="Times New Roman" w:hAnsi="Times New Roman" w:cs="Times New Roman"/>
          <w:sz w:val="24"/>
          <w:szCs w:val="24"/>
        </w:rPr>
        <w:t xml:space="preserve"> zdvihlo</w:t>
      </w:r>
      <w:r w:rsidR="003B3174">
        <w:rPr>
          <w:rFonts w:ascii="Times New Roman" w:hAnsi="Times New Roman" w:cs="Times New Roman"/>
          <w:sz w:val="24"/>
          <w:szCs w:val="24"/>
        </w:rPr>
        <w:t xml:space="preserve"> príjem holandských poľn</w:t>
      </w:r>
      <w:r w:rsidR="00900BB7">
        <w:rPr>
          <w:rFonts w:ascii="Times New Roman" w:hAnsi="Times New Roman" w:cs="Times New Roman"/>
          <w:sz w:val="24"/>
          <w:szCs w:val="24"/>
        </w:rPr>
        <w:t>ohos</w:t>
      </w:r>
      <w:r w:rsidR="00EA3931">
        <w:rPr>
          <w:rFonts w:ascii="Times New Roman" w:hAnsi="Times New Roman" w:cs="Times New Roman"/>
          <w:sz w:val="24"/>
          <w:szCs w:val="24"/>
        </w:rPr>
        <w:t>podárov omno</w:t>
      </w:r>
      <w:r w:rsidR="00986D83">
        <w:rPr>
          <w:rFonts w:ascii="Times New Roman" w:hAnsi="Times New Roman" w:cs="Times New Roman"/>
          <w:sz w:val="24"/>
          <w:szCs w:val="24"/>
        </w:rPr>
        <w:t>ho viac ako vyššie ceny znížili kúpyschopnosť</w:t>
      </w:r>
      <w:r w:rsidR="003B3174">
        <w:rPr>
          <w:rFonts w:ascii="Times New Roman" w:hAnsi="Times New Roman" w:cs="Times New Roman"/>
          <w:sz w:val="24"/>
          <w:szCs w:val="24"/>
        </w:rPr>
        <w:t xml:space="preserve"> </w:t>
      </w:r>
      <w:r w:rsidR="00BA3E51">
        <w:rPr>
          <w:rFonts w:ascii="Times New Roman" w:hAnsi="Times New Roman" w:cs="Times New Roman"/>
          <w:sz w:val="24"/>
          <w:szCs w:val="24"/>
        </w:rPr>
        <w:t xml:space="preserve">jeho </w:t>
      </w:r>
      <w:r w:rsidR="00900BB7">
        <w:rPr>
          <w:rFonts w:ascii="Times New Roman" w:hAnsi="Times New Roman" w:cs="Times New Roman"/>
          <w:sz w:val="24"/>
          <w:szCs w:val="24"/>
        </w:rPr>
        <w:t>spotrebiteľov</w:t>
      </w:r>
      <w:r w:rsidR="003B3174">
        <w:rPr>
          <w:rFonts w:ascii="Times New Roman" w:hAnsi="Times New Roman" w:cs="Times New Roman"/>
          <w:sz w:val="24"/>
          <w:szCs w:val="24"/>
        </w:rPr>
        <w:t>.</w:t>
      </w:r>
      <w:r w:rsidR="009853B9">
        <w:rPr>
          <w:rFonts w:ascii="Times New Roman" w:hAnsi="Times New Roman" w:cs="Times New Roman"/>
          <w:sz w:val="24"/>
          <w:szCs w:val="24"/>
        </w:rPr>
        <w:t xml:space="preserve"> Pre Veľkú Britániu ako veľkého importéra mliečnych produktov zvýšenie cien mlieka malo opačný efekt. </w:t>
      </w:r>
      <w:r w:rsidR="001A317A">
        <w:rPr>
          <w:rFonts w:ascii="Times New Roman" w:hAnsi="Times New Roman" w:cs="Times New Roman"/>
          <w:sz w:val="24"/>
          <w:szCs w:val="24"/>
        </w:rPr>
        <w:t xml:space="preserve">A tak je pochopiteľné, že národné záujmy boli významne odlišné. </w:t>
      </w:r>
    </w:p>
    <w:p w:rsidR="00BD4529" w:rsidRDefault="00540CF3" w:rsidP="00147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Dobrým príkladom je dohoda</w:t>
      </w:r>
      <w:r w:rsidR="00DE7BC6">
        <w:rPr>
          <w:rFonts w:ascii="Times New Roman" w:hAnsi="Times New Roman" w:cs="Times New Roman"/>
          <w:sz w:val="24"/>
          <w:szCs w:val="24"/>
        </w:rPr>
        <w:t xml:space="preserve">, že ak spoločná politika bude v konflikte s národnými záujmami niektorej z členských krajín, tak to bude mať </w:t>
      </w:r>
      <w:r w:rsidR="00B41C53">
        <w:rPr>
          <w:rFonts w:ascii="Times New Roman" w:hAnsi="Times New Roman" w:cs="Times New Roman"/>
          <w:sz w:val="24"/>
          <w:szCs w:val="24"/>
        </w:rPr>
        <w:t xml:space="preserve">daná krajina </w:t>
      </w:r>
      <w:r w:rsidR="00DE7BC6">
        <w:rPr>
          <w:rFonts w:ascii="Times New Roman" w:hAnsi="Times New Roman" w:cs="Times New Roman"/>
          <w:sz w:val="24"/>
          <w:szCs w:val="24"/>
        </w:rPr>
        <w:t>kompenzované.</w:t>
      </w:r>
      <w:r w:rsidR="00954EEC">
        <w:rPr>
          <w:rFonts w:ascii="Times New Roman" w:hAnsi="Times New Roman" w:cs="Times New Roman"/>
          <w:sz w:val="24"/>
          <w:szCs w:val="24"/>
        </w:rPr>
        <w:t xml:space="preserve"> Výsledkom bolo každoročné zvyšovanie úrovne domácich cien, dokonca v čase, keď ceny poľnohospodárskych výrobkov na svetovom trhu klesali, tak exportný prebytok EÚ rástol. </w:t>
      </w:r>
      <w:r w:rsidR="00267D68">
        <w:rPr>
          <w:rFonts w:ascii="Times New Roman" w:hAnsi="Times New Roman" w:cs="Times New Roman"/>
          <w:sz w:val="24"/>
          <w:szCs w:val="24"/>
        </w:rPr>
        <w:t xml:space="preserve">Zvýšenie ochrany poľnohospodárstva, rozšírenie EÚ a bezprecedentný technologický pokrok v poľnohospodárstve EÚ spôsobili rýchlejší rast poľnohospodárskej produkcie ako spotreby. </w:t>
      </w:r>
      <w:r w:rsidR="006B33E6">
        <w:rPr>
          <w:rFonts w:ascii="Times New Roman" w:hAnsi="Times New Roman" w:cs="Times New Roman"/>
          <w:sz w:val="24"/>
          <w:szCs w:val="24"/>
        </w:rPr>
        <w:t>Spoločenstvo, ktoré začínalo ako impor</w:t>
      </w:r>
      <w:r w:rsidR="00826173">
        <w:rPr>
          <w:rFonts w:ascii="Times New Roman" w:hAnsi="Times New Roman" w:cs="Times New Roman"/>
          <w:sz w:val="24"/>
          <w:szCs w:val="24"/>
        </w:rPr>
        <w:t>tér poľnohospodárskych výrobkov, sa zmenou</w:t>
      </w:r>
      <w:r w:rsidR="006B33E6">
        <w:rPr>
          <w:rFonts w:ascii="Times New Roman" w:hAnsi="Times New Roman" w:cs="Times New Roman"/>
          <w:sz w:val="24"/>
          <w:szCs w:val="24"/>
        </w:rPr>
        <w:t xml:space="preserve"> p</w:t>
      </w:r>
      <w:r w:rsidR="00826173">
        <w:rPr>
          <w:rFonts w:ascii="Times New Roman" w:hAnsi="Times New Roman" w:cs="Times New Roman"/>
          <w:sz w:val="24"/>
          <w:szCs w:val="24"/>
        </w:rPr>
        <w:t>onuky a dopytu stalo ich exportérom na konci 70-tych rokov</w:t>
      </w:r>
      <w:r w:rsidR="006B33E6">
        <w:rPr>
          <w:rFonts w:ascii="Times New Roman" w:hAnsi="Times New Roman" w:cs="Times New Roman"/>
          <w:sz w:val="24"/>
          <w:szCs w:val="24"/>
        </w:rPr>
        <w:t xml:space="preserve">. </w:t>
      </w:r>
      <w:r w:rsidR="00C329FD">
        <w:rPr>
          <w:rFonts w:ascii="Times New Roman" w:hAnsi="Times New Roman" w:cs="Times New Roman"/>
          <w:sz w:val="24"/>
          <w:szCs w:val="24"/>
        </w:rPr>
        <w:t>Zvyšovanie exportu a znižovanie</w:t>
      </w:r>
      <w:r w:rsidR="006F5C1B">
        <w:rPr>
          <w:rFonts w:ascii="Times New Roman" w:hAnsi="Times New Roman" w:cs="Times New Roman"/>
          <w:sz w:val="24"/>
          <w:szCs w:val="24"/>
        </w:rPr>
        <w:t xml:space="preserve"> svetových trhových cien vytvorilo tlak na rozpočet EÚ, pretože sa významne zvyšovali výdavky na exportné náhrady (dotácie). </w:t>
      </w:r>
      <w:r w:rsidR="00C329FD">
        <w:rPr>
          <w:rFonts w:ascii="Times New Roman" w:hAnsi="Times New Roman" w:cs="Times New Roman"/>
          <w:sz w:val="24"/>
          <w:szCs w:val="24"/>
        </w:rPr>
        <w:t>Obdobie reforiem</w:t>
      </w:r>
      <w:r w:rsidR="001B5BED">
        <w:rPr>
          <w:rFonts w:ascii="Times New Roman" w:hAnsi="Times New Roman" w:cs="Times New Roman"/>
          <w:sz w:val="24"/>
          <w:szCs w:val="24"/>
        </w:rPr>
        <w:t xml:space="preserve"> SPP </w:t>
      </w:r>
      <w:r w:rsidR="00C329FD">
        <w:rPr>
          <w:rFonts w:ascii="Times New Roman" w:hAnsi="Times New Roman" w:cs="Times New Roman"/>
          <w:sz w:val="24"/>
          <w:szCs w:val="24"/>
        </w:rPr>
        <w:t>sa začalo ešte s</w:t>
      </w:r>
      <w:r w:rsidR="001B5BED">
        <w:rPr>
          <w:rFonts w:ascii="Times New Roman" w:hAnsi="Times New Roman" w:cs="Times New Roman"/>
          <w:sz w:val="24"/>
          <w:szCs w:val="24"/>
        </w:rPr>
        <w:t xml:space="preserve"> väčším počtom vládnych zásahov do trhového mechanizmu. Trh s mliekom </w:t>
      </w:r>
      <w:r w:rsidR="007840A6">
        <w:rPr>
          <w:rFonts w:ascii="Times New Roman" w:hAnsi="Times New Roman" w:cs="Times New Roman"/>
          <w:sz w:val="24"/>
          <w:szCs w:val="24"/>
        </w:rPr>
        <w:t>začal predstavovať vážny</w:t>
      </w:r>
      <w:r w:rsidR="001B5BED">
        <w:rPr>
          <w:rFonts w:ascii="Times New Roman" w:hAnsi="Times New Roman" w:cs="Times New Roman"/>
          <w:sz w:val="24"/>
          <w:szCs w:val="24"/>
        </w:rPr>
        <w:t xml:space="preserve"> problém. </w:t>
      </w:r>
      <w:r w:rsidR="00B97DC6">
        <w:rPr>
          <w:rFonts w:ascii="Times New Roman" w:hAnsi="Times New Roman" w:cs="Times New Roman"/>
          <w:sz w:val="24"/>
          <w:szCs w:val="24"/>
        </w:rPr>
        <w:t>Produkcia mlieka v</w:t>
      </w:r>
      <w:r w:rsidR="008D775C">
        <w:rPr>
          <w:rFonts w:ascii="Times New Roman" w:hAnsi="Times New Roman" w:cs="Times New Roman"/>
          <w:sz w:val="24"/>
          <w:szCs w:val="24"/>
        </w:rPr>
        <w:t xml:space="preserve"> EÚ </w:t>
      </w:r>
      <w:r w:rsidR="00B97DC6">
        <w:rPr>
          <w:rFonts w:ascii="Times New Roman" w:hAnsi="Times New Roman" w:cs="Times New Roman"/>
          <w:sz w:val="24"/>
          <w:szCs w:val="24"/>
        </w:rPr>
        <w:t>rýchlo</w:t>
      </w:r>
      <w:r w:rsidR="008D775C">
        <w:rPr>
          <w:rFonts w:ascii="Times New Roman" w:hAnsi="Times New Roman" w:cs="Times New Roman"/>
          <w:sz w:val="24"/>
          <w:szCs w:val="24"/>
        </w:rPr>
        <w:t xml:space="preserve"> rástla</w:t>
      </w:r>
      <w:r w:rsidR="007840A6">
        <w:rPr>
          <w:rFonts w:ascii="Times New Roman" w:hAnsi="Times New Roman" w:cs="Times New Roman"/>
          <w:sz w:val="24"/>
          <w:szCs w:val="24"/>
        </w:rPr>
        <w:t>, pretože import krmovín</w:t>
      </w:r>
      <w:r w:rsidR="008D775C">
        <w:rPr>
          <w:rFonts w:ascii="Times New Roman" w:hAnsi="Times New Roman" w:cs="Times New Roman"/>
          <w:sz w:val="24"/>
          <w:szCs w:val="24"/>
        </w:rPr>
        <w:t xml:space="preserve"> bol kvôli GATT oslobodený od dane. </w:t>
      </w:r>
      <w:r w:rsidR="00945792">
        <w:rPr>
          <w:rFonts w:ascii="Times New Roman" w:hAnsi="Times New Roman" w:cs="Times New Roman"/>
          <w:sz w:val="24"/>
          <w:szCs w:val="24"/>
        </w:rPr>
        <w:t>Nízke ceny krmovín, čiastočne kvôli pre</w:t>
      </w:r>
      <w:r w:rsidR="00616568">
        <w:rPr>
          <w:rFonts w:ascii="Times New Roman" w:hAnsi="Times New Roman" w:cs="Times New Roman"/>
          <w:sz w:val="24"/>
          <w:szCs w:val="24"/>
        </w:rPr>
        <w:t>ukazne nižším transatlantickým dopravným</w:t>
      </w:r>
      <w:r w:rsidR="00945792">
        <w:rPr>
          <w:rFonts w:ascii="Times New Roman" w:hAnsi="Times New Roman" w:cs="Times New Roman"/>
          <w:sz w:val="24"/>
          <w:szCs w:val="24"/>
        </w:rPr>
        <w:t xml:space="preserve"> náklado</w:t>
      </w:r>
      <w:r w:rsidR="00616568">
        <w:rPr>
          <w:rFonts w:ascii="Times New Roman" w:hAnsi="Times New Roman" w:cs="Times New Roman"/>
          <w:sz w:val="24"/>
          <w:szCs w:val="24"/>
        </w:rPr>
        <w:t>m a vysokej cenovej podpore produktov</w:t>
      </w:r>
      <w:r w:rsidR="00945792">
        <w:rPr>
          <w:rFonts w:ascii="Times New Roman" w:hAnsi="Times New Roman" w:cs="Times New Roman"/>
          <w:sz w:val="24"/>
          <w:szCs w:val="24"/>
        </w:rPr>
        <w:t xml:space="preserve"> SPP, viedli k vysoko efektívnej miere ochrany mäsa a mlieka a rastu výroby.</w:t>
      </w:r>
      <w:r w:rsidR="006B33E6">
        <w:rPr>
          <w:rFonts w:ascii="Times New Roman" w:hAnsi="Times New Roman" w:cs="Times New Roman"/>
          <w:sz w:val="24"/>
          <w:szCs w:val="24"/>
        </w:rPr>
        <w:t xml:space="preserve"> </w:t>
      </w:r>
      <w:r w:rsidR="001F2551">
        <w:rPr>
          <w:rFonts w:ascii="Times New Roman" w:hAnsi="Times New Roman" w:cs="Times New Roman"/>
          <w:sz w:val="24"/>
          <w:szCs w:val="24"/>
        </w:rPr>
        <w:t xml:space="preserve">Dôsledkom bolo hromadenie zásob v skladoch EÚ a zvyšovanie rozpočtových výdavkov. </w:t>
      </w:r>
      <w:r w:rsidR="00B268F3">
        <w:rPr>
          <w:rFonts w:ascii="Times New Roman" w:hAnsi="Times New Roman" w:cs="Times New Roman"/>
          <w:sz w:val="24"/>
          <w:szCs w:val="24"/>
        </w:rPr>
        <w:t>Ako sa neskôr ukázalo bolo to hlavné obmedzenie S</w:t>
      </w:r>
      <w:r w:rsidR="001C4880">
        <w:rPr>
          <w:rFonts w:ascii="Times New Roman" w:hAnsi="Times New Roman" w:cs="Times New Roman"/>
          <w:sz w:val="24"/>
          <w:szCs w:val="24"/>
        </w:rPr>
        <w:t>PP.</w:t>
      </w:r>
      <w:r w:rsidR="00B268F3">
        <w:rPr>
          <w:rFonts w:ascii="Times New Roman" w:hAnsi="Times New Roman" w:cs="Times New Roman"/>
          <w:sz w:val="24"/>
          <w:szCs w:val="24"/>
        </w:rPr>
        <w:t xml:space="preserve"> </w:t>
      </w:r>
      <w:r w:rsidR="00FD3133">
        <w:rPr>
          <w:rFonts w:ascii="Times New Roman" w:hAnsi="Times New Roman" w:cs="Times New Roman"/>
          <w:sz w:val="24"/>
          <w:szCs w:val="24"/>
        </w:rPr>
        <w:t xml:space="preserve">V roku 1984 sa Rada dohodla na kvótovom systéme pre mlieko. </w:t>
      </w:r>
      <w:r w:rsidR="00AA6899">
        <w:rPr>
          <w:rFonts w:ascii="Times New Roman" w:hAnsi="Times New Roman" w:cs="Times New Roman"/>
          <w:sz w:val="24"/>
          <w:szCs w:val="24"/>
        </w:rPr>
        <w:t xml:space="preserve">Poľnohospodári dostávali práva na predaj v rámci kvóty za garantované ceny. </w:t>
      </w:r>
      <w:r w:rsidR="003D25B8">
        <w:rPr>
          <w:rFonts w:ascii="Times New Roman" w:hAnsi="Times New Roman" w:cs="Times New Roman"/>
          <w:sz w:val="24"/>
          <w:szCs w:val="24"/>
        </w:rPr>
        <w:t xml:space="preserve">Predaj nad kvótu bol zdanený </w:t>
      </w:r>
      <w:proofErr w:type="spellStart"/>
      <w:r w:rsidR="003D25B8">
        <w:rPr>
          <w:rFonts w:ascii="Times New Roman" w:hAnsi="Times New Roman" w:cs="Times New Roman"/>
          <w:sz w:val="24"/>
          <w:szCs w:val="24"/>
        </w:rPr>
        <w:t>superdaňou</w:t>
      </w:r>
      <w:proofErr w:type="spellEnd"/>
      <w:r w:rsidR="003D25B8">
        <w:rPr>
          <w:rFonts w:ascii="Times New Roman" w:hAnsi="Times New Roman" w:cs="Times New Roman"/>
          <w:sz w:val="24"/>
          <w:szCs w:val="24"/>
        </w:rPr>
        <w:t>, ktorá bola dlhé obdobie vyššia ako cena na trhu v rámci</w:t>
      </w:r>
      <w:r w:rsidR="001C4880">
        <w:rPr>
          <w:rFonts w:ascii="Times New Roman" w:hAnsi="Times New Roman" w:cs="Times New Roman"/>
          <w:sz w:val="24"/>
          <w:szCs w:val="24"/>
        </w:rPr>
        <w:t xml:space="preserve"> kvóty. V</w:t>
      </w:r>
      <w:r w:rsidR="000A2ACB">
        <w:rPr>
          <w:rFonts w:ascii="Times New Roman" w:hAnsi="Times New Roman" w:cs="Times New Roman"/>
          <w:sz w:val="24"/>
          <w:szCs w:val="24"/>
        </w:rPr>
        <w:t xml:space="preserve">ýroba </w:t>
      </w:r>
      <w:r w:rsidR="001C4880">
        <w:rPr>
          <w:rFonts w:ascii="Times New Roman" w:hAnsi="Times New Roman" w:cs="Times New Roman"/>
          <w:sz w:val="24"/>
          <w:szCs w:val="24"/>
        </w:rPr>
        <w:t xml:space="preserve">sa </w:t>
      </w:r>
      <w:r w:rsidR="000A2ACB">
        <w:rPr>
          <w:rFonts w:ascii="Times New Roman" w:hAnsi="Times New Roman" w:cs="Times New Roman"/>
          <w:sz w:val="24"/>
          <w:szCs w:val="24"/>
        </w:rPr>
        <w:t xml:space="preserve">obmedzila a zastavil sa rast produkcie. Okrem toho, v roku 1986 bol farmárom ponúknutý </w:t>
      </w:r>
      <w:proofErr w:type="spellStart"/>
      <w:r w:rsidR="000A2ACB">
        <w:rPr>
          <w:rFonts w:ascii="Times New Roman" w:hAnsi="Times New Roman" w:cs="Times New Roman"/>
          <w:sz w:val="24"/>
          <w:szCs w:val="24"/>
        </w:rPr>
        <w:t>set-aside</w:t>
      </w:r>
      <w:proofErr w:type="spellEnd"/>
      <w:r w:rsidR="000A2ACB">
        <w:rPr>
          <w:rFonts w:ascii="Times New Roman" w:hAnsi="Times New Roman" w:cs="Times New Roman"/>
          <w:sz w:val="24"/>
          <w:szCs w:val="24"/>
        </w:rPr>
        <w:t xml:space="preserve"> program (pôda ležiaca ľadom). </w:t>
      </w:r>
      <w:r w:rsidR="00F2668E">
        <w:rPr>
          <w:rFonts w:ascii="Times New Roman" w:hAnsi="Times New Roman" w:cs="Times New Roman"/>
          <w:sz w:val="24"/>
          <w:szCs w:val="24"/>
        </w:rPr>
        <w:t xml:space="preserve">Poľnohospodárom pestujúcim </w:t>
      </w:r>
      <w:r w:rsidR="00F2668E">
        <w:rPr>
          <w:rFonts w:ascii="Times New Roman" w:hAnsi="Times New Roman" w:cs="Times New Roman"/>
          <w:sz w:val="24"/>
          <w:szCs w:val="24"/>
        </w:rPr>
        <w:lastRenderedPageBreak/>
        <w:t xml:space="preserve">obilniny bola ponúknutá prémia, ak sa dobrovoľne vzdajú možnosti produkovať na ornej pôde. </w:t>
      </w:r>
      <w:r w:rsidR="007D71CF">
        <w:rPr>
          <w:rFonts w:ascii="Times New Roman" w:hAnsi="Times New Roman" w:cs="Times New Roman"/>
          <w:sz w:val="24"/>
          <w:szCs w:val="24"/>
        </w:rPr>
        <w:t>Prvých 25 rokov spoločnej agrárnej politiky bolo charakterizovaných zvýšením domácej ochrany</w:t>
      </w:r>
      <w:r w:rsidR="001C4880">
        <w:rPr>
          <w:rFonts w:ascii="Times New Roman" w:hAnsi="Times New Roman" w:cs="Times New Roman"/>
          <w:sz w:val="24"/>
          <w:szCs w:val="24"/>
        </w:rPr>
        <w:t xml:space="preserve"> poľnohospodárskych výrobkov</w:t>
      </w:r>
      <w:r w:rsidR="007D71CF">
        <w:rPr>
          <w:rFonts w:ascii="Times New Roman" w:hAnsi="Times New Roman" w:cs="Times New Roman"/>
          <w:sz w:val="24"/>
          <w:szCs w:val="24"/>
        </w:rPr>
        <w:t xml:space="preserve"> a tiež </w:t>
      </w:r>
      <w:r w:rsidR="001C4880">
        <w:rPr>
          <w:rFonts w:ascii="Times New Roman" w:hAnsi="Times New Roman" w:cs="Times New Roman"/>
          <w:sz w:val="24"/>
          <w:szCs w:val="24"/>
        </w:rPr>
        <w:t xml:space="preserve">ich </w:t>
      </w:r>
      <w:r w:rsidR="007D71CF">
        <w:rPr>
          <w:rFonts w:ascii="Times New Roman" w:hAnsi="Times New Roman" w:cs="Times New Roman"/>
          <w:sz w:val="24"/>
          <w:szCs w:val="24"/>
        </w:rPr>
        <w:t>ochrany na hraniciach</w:t>
      </w:r>
      <w:r w:rsidR="001C4880">
        <w:rPr>
          <w:rFonts w:ascii="Times New Roman" w:hAnsi="Times New Roman" w:cs="Times New Roman"/>
          <w:sz w:val="24"/>
          <w:szCs w:val="24"/>
        </w:rPr>
        <w:t xml:space="preserve"> (zavedenie obchodných prekážok)</w:t>
      </w:r>
      <w:r w:rsidR="007D71CF">
        <w:rPr>
          <w:rFonts w:ascii="Times New Roman" w:hAnsi="Times New Roman" w:cs="Times New Roman"/>
          <w:sz w:val="24"/>
          <w:szCs w:val="24"/>
        </w:rPr>
        <w:t xml:space="preserve">. </w:t>
      </w:r>
      <w:r w:rsidR="00742C64">
        <w:rPr>
          <w:rFonts w:ascii="Times New Roman" w:hAnsi="Times New Roman" w:cs="Times New Roman"/>
          <w:sz w:val="24"/>
          <w:szCs w:val="24"/>
        </w:rPr>
        <w:t xml:space="preserve">EÚ </w:t>
      </w:r>
      <w:r w:rsidR="00B16AB6">
        <w:rPr>
          <w:rFonts w:ascii="Times New Roman" w:hAnsi="Times New Roman" w:cs="Times New Roman"/>
          <w:sz w:val="24"/>
          <w:szCs w:val="24"/>
        </w:rPr>
        <w:t xml:space="preserve">na hospodársku situáciu </w:t>
      </w:r>
      <w:r w:rsidR="00742C64">
        <w:rPr>
          <w:rFonts w:ascii="Times New Roman" w:hAnsi="Times New Roman" w:cs="Times New Roman"/>
          <w:sz w:val="24"/>
          <w:szCs w:val="24"/>
        </w:rPr>
        <w:t>reagovala zavedením nástrojov, ktoré obmedzovali rozpočtové výdavky. Ostatné nástroje SPP ostali nepovšimnuté, čo bolo zdrojom obáv obchodných partnerov.</w:t>
      </w:r>
    </w:p>
    <w:p w:rsidR="00C75251" w:rsidRDefault="00652F59" w:rsidP="00DF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Uruguajské kolo</w:t>
      </w:r>
      <w:r w:rsidR="00F4422A">
        <w:rPr>
          <w:rFonts w:ascii="Times New Roman" w:hAnsi="Times New Roman" w:cs="Times New Roman"/>
          <w:sz w:val="24"/>
          <w:szCs w:val="24"/>
        </w:rPr>
        <w:t xml:space="preserve"> </w:t>
      </w:r>
      <w:r w:rsidR="00B3705A">
        <w:rPr>
          <w:rFonts w:ascii="Times New Roman" w:hAnsi="Times New Roman" w:cs="Times New Roman"/>
          <w:sz w:val="24"/>
          <w:szCs w:val="24"/>
        </w:rPr>
        <w:t xml:space="preserve">(UK) </w:t>
      </w:r>
      <w:r w:rsidR="00F4422A">
        <w:rPr>
          <w:rFonts w:ascii="Times New Roman" w:hAnsi="Times New Roman" w:cs="Times New Roman"/>
          <w:sz w:val="24"/>
          <w:szCs w:val="24"/>
        </w:rPr>
        <w:t>GATT</w:t>
      </w:r>
      <w:r w:rsidR="00234C29">
        <w:rPr>
          <w:rFonts w:ascii="Times New Roman" w:hAnsi="Times New Roman" w:cs="Times New Roman"/>
          <w:sz w:val="24"/>
          <w:szCs w:val="24"/>
        </w:rPr>
        <w:t xml:space="preserve"> (Všeobecná dohoda o clách a obchode)</w:t>
      </w:r>
      <w:r>
        <w:rPr>
          <w:rFonts w:ascii="Times New Roman" w:hAnsi="Times New Roman" w:cs="Times New Roman"/>
          <w:sz w:val="24"/>
          <w:szCs w:val="24"/>
        </w:rPr>
        <w:t xml:space="preserve"> (1</w:t>
      </w:r>
      <w:r w:rsidR="00F4422A">
        <w:rPr>
          <w:rFonts w:ascii="Times New Roman" w:hAnsi="Times New Roman" w:cs="Times New Roman"/>
          <w:sz w:val="24"/>
          <w:szCs w:val="24"/>
        </w:rPr>
        <w:t xml:space="preserve">986-1994) </w:t>
      </w:r>
      <w:r w:rsidR="00500E2E">
        <w:rPr>
          <w:rFonts w:ascii="Times New Roman" w:hAnsi="Times New Roman" w:cs="Times New Roman"/>
          <w:sz w:val="24"/>
          <w:szCs w:val="24"/>
        </w:rPr>
        <w:t>bolo</w:t>
      </w:r>
      <w:r>
        <w:rPr>
          <w:rFonts w:ascii="Times New Roman" w:hAnsi="Times New Roman" w:cs="Times New Roman"/>
          <w:sz w:val="24"/>
          <w:szCs w:val="24"/>
        </w:rPr>
        <w:t xml:space="preserve"> zamer</w:t>
      </w:r>
      <w:r w:rsidR="00500E2E">
        <w:rPr>
          <w:rFonts w:ascii="Times New Roman" w:hAnsi="Times New Roman" w:cs="Times New Roman"/>
          <w:sz w:val="24"/>
          <w:szCs w:val="24"/>
        </w:rPr>
        <w:t>ané</w:t>
      </w:r>
      <w:r w:rsidR="00785B72">
        <w:rPr>
          <w:rFonts w:ascii="Times New Roman" w:hAnsi="Times New Roman" w:cs="Times New Roman"/>
          <w:sz w:val="24"/>
          <w:szCs w:val="24"/>
        </w:rPr>
        <w:t xml:space="preserve"> na poľnohospodársky obchod.</w:t>
      </w:r>
      <w:r w:rsidR="00750E13">
        <w:rPr>
          <w:rFonts w:ascii="Times New Roman" w:hAnsi="Times New Roman" w:cs="Times New Roman"/>
          <w:sz w:val="24"/>
          <w:szCs w:val="24"/>
        </w:rPr>
        <w:t xml:space="preserve"> EÚ mala reformovať SPP v súlade s pravidlami nového kola. </w:t>
      </w:r>
      <w:r w:rsidR="00E40A58">
        <w:rPr>
          <w:rFonts w:ascii="Times New Roman" w:hAnsi="Times New Roman" w:cs="Times New Roman"/>
          <w:sz w:val="24"/>
          <w:szCs w:val="24"/>
        </w:rPr>
        <w:t xml:space="preserve">Rada rozhodla, že prvý sa zreformuje európsky obilninársky trh (1992). </w:t>
      </w:r>
      <w:r w:rsidR="000527CF">
        <w:rPr>
          <w:rFonts w:ascii="Times New Roman" w:hAnsi="Times New Roman" w:cs="Times New Roman"/>
          <w:sz w:val="24"/>
          <w:szCs w:val="24"/>
        </w:rPr>
        <w:t>Prvý k</w:t>
      </w:r>
      <w:r w:rsidR="00F4422A">
        <w:rPr>
          <w:rFonts w:ascii="Times New Roman" w:hAnsi="Times New Roman" w:cs="Times New Roman"/>
          <w:sz w:val="24"/>
          <w:szCs w:val="24"/>
        </w:rPr>
        <w:t>rát sa znížili ceny komodít.</w:t>
      </w:r>
      <w:r w:rsidR="000527CF">
        <w:rPr>
          <w:rFonts w:ascii="Times New Roman" w:hAnsi="Times New Roman" w:cs="Times New Roman"/>
          <w:sz w:val="24"/>
          <w:szCs w:val="24"/>
        </w:rPr>
        <w:t xml:space="preserve"> Rada sa dohodla na znížení</w:t>
      </w:r>
      <w:r w:rsidR="00B004E3">
        <w:rPr>
          <w:rFonts w:ascii="Times New Roman" w:hAnsi="Times New Roman" w:cs="Times New Roman"/>
          <w:sz w:val="24"/>
          <w:szCs w:val="24"/>
        </w:rPr>
        <w:t xml:space="preserve"> inštitucionálnych cien obilnín</w:t>
      </w:r>
      <w:r w:rsidR="000527CF">
        <w:rPr>
          <w:rFonts w:ascii="Times New Roman" w:hAnsi="Times New Roman" w:cs="Times New Roman"/>
          <w:sz w:val="24"/>
          <w:szCs w:val="24"/>
        </w:rPr>
        <w:t xml:space="preserve"> o 30 percent. </w:t>
      </w:r>
      <w:r w:rsidR="00F4422A">
        <w:rPr>
          <w:rFonts w:ascii="Times New Roman" w:hAnsi="Times New Roman" w:cs="Times New Roman"/>
          <w:sz w:val="24"/>
          <w:szCs w:val="24"/>
        </w:rPr>
        <w:t>Poľnohospodári dostali plnú kompenzáciu v podobe priamych platieb pre ich možnú stratu príjmu</w:t>
      </w:r>
      <w:r w:rsidR="00910CED">
        <w:rPr>
          <w:rFonts w:ascii="Times New Roman" w:hAnsi="Times New Roman" w:cs="Times New Roman"/>
          <w:sz w:val="24"/>
          <w:szCs w:val="24"/>
        </w:rPr>
        <w:t xml:space="preserve">. </w:t>
      </w:r>
      <w:r w:rsidR="00B004E3">
        <w:rPr>
          <w:rFonts w:ascii="Times New Roman" w:hAnsi="Times New Roman" w:cs="Times New Roman"/>
          <w:sz w:val="24"/>
          <w:szCs w:val="24"/>
        </w:rPr>
        <w:t>Tieto platby boli spojené s použitím pôdy na pestovanie obilnín.</w:t>
      </w:r>
      <w:r w:rsidR="001E3E62">
        <w:rPr>
          <w:rFonts w:ascii="Times New Roman" w:hAnsi="Times New Roman" w:cs="Times New Roman"/>
          <w:sz w:val="24"/>
          <w:szCs w:val="24"/>
        </w:rPr>
        <w:t xml:space="preserve"> Navyše, poľnohospodári mali nárok na platby, ak dodržiavali</w:t>
      </w:r>
      <w:r w:rsidR="00226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74">
        <w:rPr>
          <w:rFonts w:ascii="Times New Roman" w:hAnsi="Times New Roman" w:cs="Times New Roman"/>
          <w:sz w:val="24"/>
          <w:szCs w:val="24"/>
        </w:rPr>
        <w:t>set-aside</w:t>
      </w:r>
      <w:proofErr w:type="spellEnd"/>
      <w:r w:rsidR="00226774">
        <w:rPr>
          <w:rFonts w:ascii="Times New Roman" w:hAnsi="Times New Roman" w:cs="Times New Roman"/>
          <w:sz w:val="24"/>
          <w:szCs w:val="24"/>
        </w:rPr>
        <w:t xml:space="preserve"> aspoň na politick</w:t>
      </w:r>
      <w:r w:rsidR="001E3E62">
        <w:rPr>
          <w:rFonts w:ascii="Times New Roman" w:hAnsi="Times New Roman" w:cs="Times New Roman"/>
          <w:sz w:val="24"/>
          <w:szCs w:val="24"/>
        </w:rPr>
        <w:t>y dohodnutom percente</w:t>
      </w:r>
      <w:r w:rsidR="00226774">
        <w:rPr>
          <w:rFonts w:ascii="Times New Roman" w:hAnsi="Times New Roman" w:cs="Times New Roman"/>
          <w:sz w:val="24"/>
          <w:szCs w:val="24"/>
        </w:rPr>
        <w:t xml:space="preserve">. </w:t>
      </w:r>
      <w:r w:rsidR="00F567D9">
        <w:rPr>
          <w:rFonts w:ascii="Times New Roman" w:hAnsi="Times New Roman" w:cs="Times New Roman"/>
          <w:sz w:val="24"/>
          <w:szCs w:val="24"/>
        </w:rPr>
        <w:t xml:space="preserve">Efekt na </w:t>
      </w:r>
      <w:r w:rsidR="00AC4C1F">
        <w:rPr>
          <w:rFonts w:ascii="Times New Roman" w:hAnsi="Times New Roman" w:cs="Times New Roman"/>
          <w:sz w:val="24"/>
          <w:szCs w:val="24"/>
        </w:rPr>
        <w:t>produkciu obilnín bol minimálny. Produkcia obiln</w:t>
      </w:r>
      <w:r w:rsidR="00415C0C">
        <w:rPr>
          <w:rFonts w:ascii="Times New Roman" w:hAnsi="Times New Roman" w:cs="Times New Roman"/>
          <w:sz w:val="24"/>
          <w:szCs w:val="24"/>
        </w:rPr>
        <w:t>ín začala konkurovať dovozom</w:t>
      </w:r>
      <w:r w:rsidR="00AC4C1F">
        <w:rPr>
          <w:rFonts w:ascii="Times New Roman" w:hAnsi="Times New Roman" w:cs="Times New Roman"/>
          <w:sz w:val="24"/>
          <w:szCs w:val="24"/>
        </w:rPr>
        <w:t xml:space="preserve"> </w:t>
      </w:r>
      <w:r w:rsidR="00415C0C">
        <w:rPr>
          <w:rFonts w:ascii="Times New Roman" w:hAnsi="Times New Roman" w:cs="Times New Roman"/>
          <w:sz w:val="24"/>
          <w:szCs w:val="24"/>
        </w:rPr>
        <w:t>krmív</w:t>
      </w:r>
      <w:r w:rsidR="00F567D9">
        <w:rPr>
          <w:rFonts w:ascii="Times New Roman" w:hAnsi="Times New Roman" w:cs="Times New Roman"/>
          <w:sz w:val="24"/>
          <w:szCs w:val="24"/>
        </w:rPr>
        <w:t xml:space="preserve">, a tak sa prebytok obilnín postupne vytratil. </w:t>
      </w:r>
      <w:r w:rsidR="00DF2936">
        <w:rPr>
          <w:rFonts w:ascii="Times New Roman" w:hAnsi="Times New Roman" w:cs="Times New Roman"/>
          <w:sz w:val="24"/>
          <w:szCs w:val="24"/>
        </w:rPr>
        <w:t>Rozhodnutie v sektore obilnín prispelo k finálnej doho</w:t>
      </w:r>
      <w:r w:rsidR="00B3705A">
        <w:rPr>
          <w:rFonts w:ascii="Times New Roman" w:hAnsi="Times New Roman" w:cs="Times New Roman"/>
          <w:sz w:val="24"/>
          <w:szCs w:val="24"/>
        </w:rPr>
        <w:t>de v rámci UK.</w:t>
      </w:r>
      <w:r w:rsidR="00DF2936">
        <w:rPr>
          <w:rFonts w:ascii="Times New Roman" w:hAnsi="Times New Roman" w:cs="Times New Roman"/>
          <w:sz w:val="24"/>
          <w:szCs w:val="24"/>
        </w:rPr>
        <w:t xml:space="preserve"> </w:t>
      </w:r>
      <w:r w:rsidR="00B3705A">
        <w:rPr>
          <w:rFonts w:ascii="Times New Roman" w:hAnsi="Times New Roman" w:cs="Times New Roman"/>
          <w:sz w:val="24"/>
          <w:szCs w:val="24"/>
        </w:rPr>
        <w:t xml:space="preserve">Dohoda požadovala zmeny aj v exportných dotáciách. Obmedzenie exportných dotácií sa urobilo </w:t>
      </w:r>
      <w:r w:rsidR="00D06C10">
        <w:rPr>
          <w:rFonts w:ascii="Times New Roman" w:hAnsi="Times New Roman" w:cs="Times New Roman"/>
          <w:sz w:val="24"/>
          <w:szCs w:val="24"/>
        </w:rPr>
        <w:t xml:space="preserve">dvoma cestami: </w:t>
      </w:r>
      <w:r w:rsidR="00C75251">
        <w:rPr>
          <w:rFonts w:ascii="Times New Roman" w:hAnsi="Times New Roman" w:cs="Times New Roman"/>
          <w:sz w:val="24"/>
          <w:szCs w:val="24"/>
        </w:rPr>
        <w:t xml:space="preserve">a) množstvo jasne definovaných produktov alebo produktových skupín, kde bolo dovolené dotovanie boli redukované o 21 percent z úrovne rokov 1986-88, b) množstvo exportných dotácii bolo znížených o 36 percent z úrovne rokov 1986-88. </w:t>
      </w:r>
    </w:p>
    <w:p w:rsidR="000B4502" w:rsidRDefault="00EA71D5" w:rsidP="00DF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Okrem toho, ako iné GATT/WTO krajiny, EÚ mala akceptovať ústupok na strane importu. </w:t>
      </w:r>
      <w:r w:rsidR="009136B5">
        <w:rPr>
          <w:rFonts w:ascii="Times New Roman" w:hAnsi="Times New Roman" w:cs="Times New Roman"/>
          <w:sz w:val="24"/>
          <w:szCs w:val="24"/>
        </w:rPr>
        <w:t>Každá krajina povolila dovoz špecifických produktov do 5 percent domácej spotreby v základnom období 1986-88. Premenlivé dane a iné netarifné o</w:t>
      </w:r>
      <w:r w:rsidR="002760B4">
        <w:rPr>
          <w:rFonts w:ascii="Times New Roman" w:hAnsi="Times New Roman" w:cs="Times New Roman"/>
          <w:sz w:val="24"/>
          <w:szCs w:val="24"/>
        </w:rPr>
        <w:t>bchodné opatrenia boli prevedené</w:t>
      </w:r>
      <w:r w:rsidR="009136B5">
        <w:rPr>
          <w:rFonts w:ascii="Times New Roman" w:hAnsi="Times New Roman" w:cs="Times New Roman"/>
          <w:sz w:val="24"/>
          <w:szCs w:val="24"/>
        </w:rPr>
        <w:t xml:space="preserve"> na tarifné </w:t>
      </w:r>
      <w:r w:rsidR="002760B4">
        <w:rPr>
          <w:rFonts w:ascii="Times New Roman" w:hAnsi="Times New Roman" w:cs="Times New Roman"/>
          <w:sz w:val="24"/>
          <w:szCs w:val="24"/>
        </w:rPr>
        <w:t>ekvivalenty a tieto boli znížené</w:t>
      </w:r>
      <w:r w:rsidR="009136B5">
        <w:rPr>
          <w:rFonts w:ascii="Times New Roman" w:hAnsi="Times New Roman" w:cs="Times New Roman"/>
          <w:sz w:val="24"/>
          <w:szCs w:val="24"/>
        </w:rPr>
        <w:t xml:space="preserve"> o 36 % zo základného obdobia 1986-88. Pri individuálnych produktoch boli znížené minimálne o 15 %. </w:t>
      </w:r>
      <w:r w:rsidR="00224F73">
        <w:rPr>
          <w:rFonts w:ascii="Times New Roman" w:hAnsi="Times New Roman" w:cs="Times New Roman"/>
          <w:sz w:val="24"/>
          <w:szCs w:val="24"/>
        </w:rPr>
        <w:t xml:space="preserve">EÚ nebolo dovolené aplikovať systém premenlivých ciel (daní) a pred stanovením domácich inštitucionálnych cien mala brať do úvahy zmeny vo svetových cenách. </w:t>
      </w:r>
      <w:r w:rsidR="002760B4">
        <w:rPr>
          <w:rFonts w:ascii="Times New Roman" w:hAnsi="Times New Roman" w:cs="Times New Roman"/>
          <w:sz w:val="24"/>
          <w:szCs w:val="24"/>
        </w:rPr>
        <w:t xml:space="preserve">Táto medzinárodná dohoda </w:t>
      </w:r>
      <w:r w:rsidR="00C046B9">
        <w:rPr>
          <w:rFonts w:ascii="Times New Roman" w:hAnsi="Times New Roman" w:cs="Times New Roman"/>
          <w:sz w:val="24"/>
          <w:szCs w:val="24"/>
        </w:rPr>
        <w:t>prinútila E</w:t>
      </w:r>
      <w:r w:rsidR="007132E2">
        <w:rPr>
          <w:rFonts w:ascii="Times New Roman" w:hAnsi="Times New Roman" w:cs="Times New Roman"/>
          <w:sz w:val="24"/>
          <w:szCs w:val="24"/>
        </w:rPr>
        <w:t xml:space="preserve">Ú zmeniť jej organizáciu trhu. </w:t>
      </w:r>
      <w:r w:rsidR="008437BF">
        <w:rPr>
          <w:rFonts w:ascii="Times New Roman" w:hAnsi="Times New Roman" w:cs="Times New Roman"/>
          <w:sz w:val="24"/>
          <w:szCs w:val="24"/>
        </w:rPr>
        <w:t>Nakoniec</w:t>
      </w:r>
      <w:r w:rsidR="002760B4">
        <w:rPr>
          <w:rFonts w:ascii="Times New Roman" w:hAnsi="Times New Roman" w:cs="Times New Roman"/>
          <w:sz w:val="24"/>
          <w:szCs w:val="24"/>
        </w:rPr>
        <w:t xml:space="preserve"> EÚ reformovala SPP výrazne</w:t>
      </w:r>
      <w:r w:rsidR="008437BF">
        <w:rPr>
          <w:rFonts w:ascii="Times New Roman" w:hAnsi="Times New Roman" w:cs="Times New Roman"/>
          <w:sz w:val="24"/>
          <w:szCs w:val="24"/>
        </w:rPr>
        <w:t xml:space="preserve"> v roku 2003, snažila sa o pozitívny príspevok do kola obchodných negociácií v </w:t>
      </w:r>
      <w:proofErr w:type="spellStart"/>
      <w:r w:rsidR="008437BF">
        <w:rPr>
          <w:rFonts w:ascii="Times New Roman" w:hAnsi="Times New Roman" w:cs="Times New Roman"/>
          <w:sz w:val="24"/>
          <w:szCs w:val="24"/>
        </w:rPr>
        <w:t>Dohe</w:t>
      </w:r>
      <w:proofErr w:type="spellEnd"/>
      <w:r w:rsidR="008437BF">
        <w:rPr>
          <w:rFonts w:ascii="Times New Roman" w:hAnsi="Times New Roman" w:cs="Times New Roman"/>
          <w:sz w:val="24"/>
          <w:szCs w:val="24"/>
        </w:rPr>
        <w:t xml:space="preserve"> (2001). Jedna z reforiem sa týkala domácich podpôr. Priame platby SPP boli zahrnuté do „Modrého boxu“. </w:t>
      </w:r>
      <w:r w:rsidR="00DE670A">
        <w:rPr>
          <w:rFonts w:ascii="Times New Roman" w:hAnsi="Times New Roman" w:cs="Times New Roman"/>
          <w:sz w:val="24"/>
          <w:szCs w:val="24"/>
        </w:rPr>
        <w:t>Ide o priame platby obmedzujúce výrobu, a preto nepodliehali redukcii. Tento ústupok voči EÚ bol kompenzovaný cenovými zníženiami a prísľubom, že po</w:t>
      </w:r>
      <w:r w:rsidR="006967D1">
        <w:rPr>
          <w:rFonts w:ascii="Times New Roman" w:hAnsi="Times New Roman" w:cs="Times New Roman"/>
          <w:sz w:val="24"/>
          <w:szCs w:val="24"/>
        </w:rPr>
        <w:t xml:space="preserve">moc poľnohospodárom bude potrebná len počas </w:t>
      </w:r>
      <w:r w:rsidR="00A56D4E">
        <w:rPr>
          <w:rFonts w:ascii="Times New Roman" w:hAnsi="Times New Roman" w:cs="Times New Roman"/>
          <w:sz w:val="24"/>
          <w:szCs w:val="24"/>
        </w:rPr>
        <w:t xml:space="preserve">určitého </w:t>
      </w:r>
      <w:r w:rsidR="006967D1">
        <w:rPr>
          <w:rFonts w:ascii="Times New Roman" w:hAnsi="Times New Roman" w:cs="Times New Roman"/>
          <w:sz w:val="24"/>
          <w:szCs w:val="24"/>
        </w:rPr>
        <w:t xml:space="preserve">prispôsobovacieho obdobia. </w:t>
      </w:r>
      <w:r w:rsidR="00CE1CB3">
        <w:rPr>
          <w:rFonts w:ascii="Times New Roman" w:hAnsi="Times New Roman" w:cs="Times New Roman"/>
          <w:sz w:val="24"/>
          <w:szCs w:val="24"/>
        </w:rPr>
        <w:t>Tieto ústupky mali skončiť do ukončenia rokovaní v </w:t>
      </w:r>
      <w:proofErr w:type="spellStart"/>
      <w:r w:rsidR="00CE1CB3">
        <w:rPr>
          <w:rFonts w:ascii="Times New Roman" w:hAnsi="Times New Roman" w:cs="Times New Roman"/>
          <w:sz w:val="24"/>
          <w:szCs w:val="24"/>
        </w:rPr>
        <w:t>Dohe</w:t>
      </w:r>
      <w:proofErr w:type="spellEnd"/>
      <w:r w:rsidR="00CE1CB3">
        <w:rPr>
          <w:rFonts w:ascii="Times New Roman" w:hAnsi="Times New Roman" w:cs="Times New Roman"/>
          <w:sz w:val="24"/>
          <w:szCs w:val="24"/>
        </w:rPr>
        <w:t>, komp</w:t>
      </w:r>
      <w:r w:rsidR="00A56D4E">
        <w:rPr>
          <w:rFonts w:ascii="Times New Roman" w:hAnsi="Times New Roman" w:cs="Times New Roman"/>
          <w:sz w:val="24"/>
          <w:szCs w:val="24"/>
        </w:rPr>
        <w:t>enzácie na prispôsobenie nemali</w:t>
      </w:r>
      <w:r w:rsidR="00CE1CB3">
        <w:rPr>
          <w:rFonts w:ascii="Times New Roman" w:hAnsi="Times New Roman" w:cs="Times New Roman"/>
          <w:sz w:val="24"/>
          <w:szCs w:val="24"/>
        </w:rPr>
        <w:t xml:space="preserve"> byť vyplácané trvale a EÚ mala hľadať alternatívy pre poskytovanie pomoci poľnohospodárom. </w:t>
      </w:r>
    </w:p>
    <w:p w:rsidR="00CD1A40" w:rsidRDefault="00422209" w:rsidP="00DF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Reforma SPP z</w:t>
      </w:r>
      <w:r w:rsidR="00470AF9">
        <w:rPr>
          <w:rFonts w:ascii="Times New Roman" w:hAnsi="Times New Roman" w:cs="Times New Roman"/>
          <w:sz w:val="24"/>
          <w:szCs w:val="24"/>
        </w:rPr>
        <w:t xml:space="preserve"> roku 2003 bola </w:t>
      </w:r>
      <w:r w:rsidR="00E33015">
        <w:rPr>
          <w:rFonts w:ascii="Times New Roman" w:hAnsi="Times New Roman" w:cs="Times New Roman"/>
          <w:sz w:val="24"/>
          <w:szCs w:val="24"/>
        </w:rPr>
        <w:t xml:space="preserve">zmenou v ochrane poľnohospodárstva. </w:t>
      </w:r>
      <w:r w:rsidR="00484FB1">
        <w:rPr>
          <w:rFonts w:ascii="Times New Roman" w:hAnsi="Times New Roman" w:cs="Times New Roman"/>
          <w:sz w:val="24"/>
          <w:szCs w:val="24"/>
        </w:rPr>
        <w:t>Predtým, podpora poľnohospodárstva ma</w:t>
      </w:r>
      <w:r>
        <w:rPr>
          <w:rFonts w:ascii="Times New Roman" w:hAnsi="Times New Roman" w:cs="Times New Roman"/>
          <w:sz w:val="24"/>
          <w:szCs w:val="24"/>
        </w:rPr>
        <w:t>la formu cenovej podpory výrobkov</w:t>
      </w:r>
      <w:r w:rsidR="00484FB1">
        <w:rPr>
          <w:rFonts w:ascii="Times New Roman" w:hAnsi="Times New Roman" w:cs="Times New Roman"/>
          <w:sz w:val="24"/>
          <w:szCs w:val="24"/>
        </w:rPr>
        <w:t xml:space="preserve"> a výrobných faktorov, v sektore </w:t>
      </w:r>
      <w:r w:rsidR="00032B9D">
        <w:rPr>
          <w:rFonts w:ascii="Times New Roman" w:hAnsi="Times New Roman" w:cs="Times New Roman"/>
          <w:sz w:val="24"/>
          <w:szCs w:val="24"/>
        </w:rPr>
        <w:t>ŽV</w:t>
      </w:r>
      <w:r>
        <w:rPr>
          <w:rFonts w:ascii="Times New Roman" w:hAnsi="Times New Roman" w:cs="Times New Roman"/>
          <w:sz w:val="24"/>
          <w:szCs w:val="24"/>
        </w:rPr>
        <w:t xml:space="preserve"> niektoré podpory boli</w:t>
      </w:r>
      <w:r w:rsidR="0032392F">
        <w:rPr>
          <w:rFonts w:ascii="Times New Roman" w:hAnsi="Times New Roman" w:cs="Times New Roman"/>
          <w:sz w:val="24"/>
          <w:szCs w:val="24"/>
        </w:rPr>
        <w:t xml:space="preserve"> </w:t>
      </w:r>
      <w:r w:rsidR="00484FB1">
        <w:rPr>
          <w:rFonts w:ascii="Times New Roman" w:hAnsi="Times New Roman" w:cs="Times New Roman"/>
          <w:sz w:val="24"/>
          <w:szCs w:val="24"/>
        </w:rPr>
        <w:t>na hlavu zvieraťa.</w:t>
      </w:r>
      <w:r w:rsidR="00BF6DB6">
        <w:rPr>
          <w:rFonts w:ascii="Times New Roman" w:hAnsi="Times New Roman" w:cs="Times New Roman"/>
          <w:sz w:val="24"/>
          <w:szCs w:val="24"/>
        </w:rPr>
        <w:t xml:space="preserve"> Tieto podpory stimulovali výrobu a trestali (zdaňovali) spotrebu. Preto sa obchodní partneri stavali proti tomuto systému a tlačili na jeho zmenu. </w:t>
      </w:r>
      <w:r w:rsidR="001D4A4B">
        <w:rPr>
          <w:rFonts w:ascii="Times New Roman" w:hAnsi="Times New Roman" w:cs="Times New Roman"/>
          <w:sz w:val="24"/>
          <w:szCs w:val="24"/>
        </w:rPr>
        <w:t>Rada rozhodla znížiť cenovú podporu dokonca viac ako bol predpoklad (pre hl</w:t>
      </w:r>
      <w:r w:rsidR="003641A0">
        <w:rPr>
          <w:rFonts w:ascii="Times New Roman" w:hAnsi="Times New Roman" w:cs="Times New Roman"/>
          <w:sz w:val="24"/>
          <w:szCs w:val="24"/>
        </w:rPr>
        <w:t xml:space="preserve">avné produkty od roku 2004 </w:t>
      </w:r>
      <w:r w:rsidR="001D4A4B">
        <w:rPr>
          <w:rFonts w:ascii="Times New Roman" w:hAnsi="Times New Roman" w:cs="Times New Roman"/>
          <w:sz w:val="24"/>
          <w:szCs w:val="24"/>
        </w:rPr>
        <w:t xml:space="preserve">a pre niektoré produkty ako cukor, olivový olej, tabak a bavlna v neskoršom čase) a odviazať v princípe všetky typy priamych platieb. </w:t>
      </w:r>
      <w:r w:rsidR="001D5D44">
        <w:rPr>
          <w:rFonts w:ascii="Times New Roman" w:hAnsi="Times New Roman" w:cs="Times New Roman"/>
          <w:sz w:val="24"/>
          <w:szCs w:val="24"/>
        </w:rPr>
        <w:t xml:space="preserve">Vo všeobecnom </w:t>
      </w:r>
      <w:r w:rsidR="001D5D44">
        <w:rPr>
          <w:rFonts w:ascii="Times New Roman" w:hAnsi="Times New Roman" w:cs="Times New Roman"/>
          <w:sz w:val="24"/>
          <w:szCs w:val="24"/>
        </w:rPr>
        <w:lastRenderedPageBreak/>
        <w:t>návrhu Európska komisia zlučuje všetky príjmové zníženia, ako sú cenové zní</w:t>
      </w:r>
      <w:r w:rsidR="006831E3">
        <w:rPr>
          <w:rFonts w:ascii="Times New Roman" w:hAnsi="Times New Roman" w:cs="Times New Roman"/>
          <w:sz w:val="24"/>
          <w:szCs w:val="24"/>
        </w:rPr>
        <w:t>že</w:t>
      </w:r>
      <w:r w:rsidR="001D5D44">
        <w:rPr>
          <w:rFonts w:ascii="Times New Roman" w:hAnsi="Times New Roman" w:cs="Times New Roman"/>
          <w:sz w:val="24"/>
          <w:szCs w:val="24"/>
        </w:rPr>
        <w:t>nia do roku 2003 a všetky typy priamych platieb poskytovaných od roku 2003 do jedného typu platby, a to do Jednotnej platby na farmu (</w:t>
      </w:r>
      <w:proofErr w:type="spellStart"/>
      <w:r w:rsidR="001D5D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D5D44">
        <w:rPr>
          <w:rFonts w:ascii="Times New Roman" w:hAnsi="Times New Roman" w:cs="Times New Roman"/>
          <w:sz w:val="24"/>
          <w:szCs w:val="24"/>
        </w:rPr>
        <w:t xml:space="preserve"> Single</w:t>
      </w:r>
      <w:r w:rsidR="00320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D44">
        <w:rPr>
          <w:rFonts w:ascii="Times New Roman" w:hAnsi="Times New Roman" w:cs="Times New Roman"/>
          <w:sz w:val="24"/>
          <w:szCs w:val="24"/>
        </w:rPr>
        <w:t>Farm</w:t>
      </w:r>
      <w:proofErr w:type="spellEnd"/>
      <w:r w:rsidR="001D5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D44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="001D5D44">
        <w:rPr>
          <w:rFonts w:ascii="Times New Roman" w:hAnsi="Times New Roman" w:cs="Times New Roman"/>
          <w:sz w:val="24"/>
          <w:szCs w:val="24"/>
        </w:rPr>
        <w:t xml:space="preserve"> – SFP) vytvorenej pre jednotlivé farmy založenej na historických úrovniach. </w:t>
      </w:r>
      <w:r w:rsidR="00022084">
        <w:rPr>
          <w:rFonts w:ascii="Times New Roman" w:hAnsi="Times New Roman" w:cs="Times New Roman"/>
          <w:sz w:val="24"/>
          <w:szCs w:val="24"/>
        </w:rPr>
        <w:t>Nároky fariem na platbu boli obchodovateľné, a preto sa zvýšil tlak na úplné odviazanie</w:t>
      </w:r>
      <w:r w:rsidR="0045542B">
        <w:rPr>
          <w:rFonts w:ascii="Times New Roman" w:hAnsi="Times New Roman" w:cs="Times New Roman"/>
          <w:sz w:val="24"/>
          <w:szCs w:val="24"/>
        </w:rPr>
        <w:t xml:space="preserve"> od produkcie.</w:t>
      </w:r>
      <w:r w:rsidR="00247077">
        <w:rPr>
          <w:rFonts w:ascii="Times New Roman" w:hAnsi="Times New Roman" w:cs="Times New Roman"/>
          <w:sz w:val="24"/>
          <w:szCs w:val="24"/>
        </w:rPr>
        <w:t xml:space="preserve"> </w:t>
      </w:r>
      <w:r w:rsidR="0045542B">
        <w:rPr>
          <w:rFonts w:ascii="Times New Roman" w:hAnsi="Times New Roman" w:cs="Times New Roman"/>
          <w:sz w:val="24"/>
          <w:szCs w:val="24"/>
        </w:rPr>
        <w:t>Chybou bolo, že</w:t>
      </w:r>
      <w:r w:rsidR="008D4EEC">
        <w:rPr>
          <w:rFonts w:ascii="Times New Roman" w:hAnsi="Times New Roman" w:cs="Times New Roman"/>
          <w:sz w:val="24"/>
          <w:szCs w:val="24"/>
        </w:rPr>
        <w:t xml:space="preserve"> Rada poskytla čl</w:t>
      </w:r>
      <w:r w:rsidR="0045542B">
        <w:rPr>
          <w:rFonts w:ascii="Times New Roman" w:hAnsi="Times New Roman" w:cs="Times New Roman"/>
          <w:sz w:val="24"/>
          <w:szCs w:val="24"/>
        </w:rPr>
        <w:t>enským krajinám veľa priestoru</w:t>
      </w:r>
      <w:r w:rsidR="008D4EEC">
        <w:rPr>
          <w:rFonts w:ascii="Times New Roman" w:hAnsi="Times New Roman" w:cs="Times New Roman"/>
          <w:sz w:val="24"/>
          <w:szCs w:val="24"/>
        </w:rPr>
        <w:t>. Napríklad,</w:t>
      </w:r>
      <w:r w:rsidR="00712430">
        <w:rPr>
          <w:rFonts w:ascii="Times New Roman" w:hAnsi="Times New Roman" w:cs="Times New Roman"/>
          <w:sz w:val="24"/>
          <w:szCs w:val="24"/>
        </w:rPr>
        <w:t xml:space="preserve"> krajinám bolo dovolené zviazať </w:t>
      </w:r>
      <w:r w:rsidR="008D4EEC">
        <w:rPr>
          <w:rFonts w:ascii="Times New Roman" w:hAnsi="Times New Roman" w:cs="Times New Roman"/>
          <w:sz w:val="24"/>
          <w:szCs w:val="24"/>
        </w:rPr>
        <w:t xml:space="preserve">(prepojiť) časť platieb s produkciou alebo použitie výrobných faktorov počas prechodného obdobia a spojiť ich opäť s produkciou, ak by regionálna alebo domáca produkcia v krajine </w:t>
      </w:r>
      <w:r w:rsidR="00175F7E">
        <w:rPr>
          <w:rFonts w:ascii="Times New Roman" w:hAnsi="Times New Roman" w:cs="Times New Roman"/>
          <w:sz w:val="24"/>
          <w:szCs w:val="24"/>
        </w:rPr>
        <w:t>padala príliš masívne</w:t>
      </w:r>
      <w:r w:rsidR="008D4EEC">
        <w:rPr>
          <w:rFonts w:ascii="Times New Roman" w:hAnsi="Times New Roman" w:cs="Times New Roman"/>
          <w:sz w:val="24"/>
          <w:szCs w:val="24"/>
        </w:rPr>
        <w:t>.</w:t>
      </w:r>
      <w:r w:rsidR="00175F7E">
        <w:rPr>
          <w:rFonts w:ascii="Times New Roman" w:hAnsi="Times New Roman" w:cs="Times New Roman"/>
          <w:sz w:val="24"/>
          <w:szCs w:val="24"/>
        </w:rPr>
        <w:t xml:space="preserve"> </w:t>
      </w:r>
      <w:r w:rsidR="00712430">
        <w:rPr>
          <w:rFonts w:ascii="Times New Roman" w:hAnsi="Times New Roman" w:cs="Times New Roman"/>
          <w:sz w:val="24"/>
          <w:szCs w:val="24"/>
        </w:rPr>
        <w:t>Platby mohli byť úplne spojen</w:t>
      </w:r>
      <w:r w:rsidR="00D74163">
        <w:rPr>
          <w:rFonts w:ascii="Times New Roman" w:hAnsi="Times New Roman" w:cs="Times New Roman"/>
          <w:sz w:val="24"/>
          <w:szCs w:val="24"/>
        </w:rPr>
        <w:t>é (zviazané) s pôdou.</w:t>
      </w:r>
      <w:r w:rsidR="00712430">
        <w:rPr>
          <w:rFonts w:ascii="Times New Roman" w:hAnsi="Times New Roman" w:cs="Times New Roman"/>
          <w:sz w:val="24"/>
          <w:szCs w:val="24"/>
        </w:rPr>
        <w:t xml:space="preserve"> Nakoniec, niektoré platby boli naviazané na environmentálne štandardy, </w:t>
      </w:r>
      <w:r w:rsidR="00D74163">
        <w:rPr>
          <w:rFonts w:ascii="Times New Roman" w:hAnsi="Times New Roman" w:cs="Times New Roman"/>
          <w:sz w:val="24"/>
          <w:szCs w:val="24"/>
        </w:rPr>
        <w:t xml:space="preserve">ktoré poľnohospodári potrebujú </w:t>
      </w:r>
      <w:r w:rsidR="00712430">
        <w:rPr>
          <w:rFonts w:ascii="Times New Roman" w:hAnsi="Times New Roman" w:cs="Times New Roman"/>
          <w:sz w:val="24"/>
          <w:szCs w:val="24"/>
        </w:rPr>
        <w:t>plniť, tento proces je známy ako krížové plnenie (</w:t>
      </w:r>
      <w:proofErr w:type="spellStart"/>
      <w:r w:rsidR="00712430">
        <w:rPr>
          <w:rFonts w:ascii="Times New Roman" w:hAnsi="Times New Roman" w:cs="Times New Roman"/>
          <w:sz w:val="24"/>
          <w:szCs w:val="24"/>
        </w:rPr>
        <w:t>cross-compliance</w:t>
      </w:r>
      <w:proofErr w:type="spellEnd"/>
      <w:r w:rsidR="00712430">
        <w:rPr>
          <w:rFonts w:ascii="Times New Roman" w:hAnsi="Times New Roman" w:cs="Times New Roman"/>
          <w:sz w:val="24"/>
          <w:szCs w:val="24"/>
        </w:rPr>
        <w:t xml:space="preserve">). </w:t>
      </w:r>
      <w:r w:rsidR="002A4495">
        <w:rPr>
          <w:rFonts w:ascii="Times New Roman" w:hAnsi="Times New Roman" w:cs="Times New Roman"/>
          <w:sz w:val="24"/>
          <w:szCs w:val="24"/>
        </w:rPr>
        <w:t>Krížové plnenie spojilo platby s rešpektovaním environmentálnych a iných požiadaviek</w:t>
      </w:r>
      <w:r w:rsidR="00F2249B">
        <w:rPr>
          <w:rFonts w:ascii="Times New Roman" w:hAnsi="Times New Roman" w:cs="Times New Roman"/>
          <w:sz w:val="24"/>
          <w:szCs w:val="24"/>
        </w:rPr>
        <w:t xml:space="preserve"> (zdravie a starostlivosť o zvieratá a rastliny) stanovených na európskej a národnej úrovni. </w:t>
      </w:r>
    </w:p>
    <w:p w:rsidR="00BC627C" w:rsidRDefault="00F72BC4" w:rsidP="00147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Reforma z roku 2003 definovala aj nové nástroje SPP: pilier I pre opatrenia trhu a cenovej podpory a pilier II pre vidiecky rozvoj. </w:t>
      </w:r>
      <w:r w:rsidR="00F242B7">
        <w:rPr>
          <w:rFonts w:ascii="Times New Roman" w:hAnsi="Times New Roman" w:cs="Times New Roman"/>
          <w:sz w:val="24"/>
          <w:szCs w:val="24"/>
        </w:rPr>
        <w:t>V</w:t>
      </w:r>
      <w:r w:rsidR="00B16578">
        <w:rPr>
          <w:rFonts w:ascii="Times New Roman" w:hAnsi="Times New Roman" w:cs="Times New Roman"/>
          <w:sz w:val="24"/>
          <w:szCs w:val="24"/>
        </w:rPr>
        <w:t xml:space="preserve">ýdavky </w:t>
      </w:r>
      <w:r w:rsidR="00F242B7">
        <w:rPr>
          <w:rFonts w:ascii="Times New Roman" w:hAnsi="Times New Roman" w:cs="Times New Roman"/>
          <w:sz w:val="24"/>
          <w:szCs w:val="24"/>
        </w:rPr>
        <w:t xml:space="preserve">prvého piliera majú postupne klesať, zatiaľ čo výdavky druhého </w:t>
      </w:r>
      <w:r w:rsidR="00B16578">
        <w:rPr>
          <w:rFonts w:ascii="Times New Roman" w:hAnsi="Times New Roman" w:cs="Times New Roman"/>
          <w:sz w:val="24"/>
          <w:szCs w:val="24"/>
        </w:rPr>
        <w:t>pilier</w:t>
      </w:r>
      <w:r w:rsidR="0076497F">
        <w:rPr>
          <w:rFonts w:ascii="Times New Roman" w:hAnsi="Times New Roman" w:cs="Times New Roman"/>
          <w:sz w:val="24"/>
          <w:szCs w:val="24"/>
        </w:rPr>
        <w:t>a budú</w:t>
      </w:r>
      <w:r w:rsidR="00B16578">
        <w:rPr>
          <w:rFonts w:ascii="Times New Roman" w:hAnsi="Times New Roman" w:cs="Times New Roman"/>
          <w:sz w:val="24"/>
          <w:szCs w:val="24"/>
        </w:rPr>
        <w:t xml:space="preserve"> rásť. </w:t>
      </w:r>
      <w:r w:rsidR="0089066D">
        <w:rPr>
          <w:rFonts w:ascii="Times New Roman" w:hAnsi="Times New Roman" w:cs="Times New Roman"/>
          <w:sz w:val="24"/>
          <w:szCs w:val="24"/>
        </w:rPr>
        <w:t>A</w:t>
      </w:r>
      <w:r w:rsidR="00672726">
        <w:rPr>
          <w:rFonts w:ascii="Times New Roman" w:hAnsi="Times New Roman" w:cs="Times New Roman"/>
          <w:sz w:val="24"/>
          <w:szCs w:val="24"/>
        </w:rPr>
        <w:t>ké ospravedlnenie by sme mohli použiť na zvýšenie rozpočtu druhého piliera o</w:t>
      </w:r>
      <w:r w:rsidR="0089066D">
        <w:rPr>
          <w:rFonts w:ascii="Times New Roman" w:hAnsi="Times New Roman" w:cs="Times New Roman"/>
          <w:sz w:val="24"/>
          <w:szCs w:val="24"/>
        </w:rPr>
        <w:t> </w:t>
      </w:r>
      <w:r w:rsidR="00672726">
        <w:rPr>
          <w:rFonts w:ascii="Times New Roman" w:hAnsi="Times New Roman" w:cs="Times New Roman"/>
          <w:sz w:val="24"/>
          <w:szCs w:val="24"/>
        </w:rPr>
        <w:t>objem</w:t>
      </w:r>
      <w:r w:rsidR="0089066D">
        <w:rPr>
          <w:rFonts w:ascii="Times New Roman" w:hAnsi="Times New Roman" w:cs="Times New Roman"/>
          <w:sz w:val="24"/>
          <w:szCs w:val="24"/>
        </w:rPr>
        <w:t>,</w:t>
      </w:r>
      <w:r w:rsidR="00672726">
        <w:rPr>
          <w:rFonts w:ascii="Times New Roman" w:hAnsi="Times New Roman" w:cs="Times New Roman"/>
          <w:sz w:val="24"/>
          <w:szCs w:val="24"/>
        </w:rPr>
        <w:t xml:space="preserve"> o ktorý sa zníži rozpočet prvého piliera, ak aj vezmeme do úvahy rozdielnosť cieľov jednotlivých pilierov? </w:t>
      </w:r>
      <w:r w:rsidR="00736E9D">
        <w:rPr>
          <w:rFonts w:ascii="Times New Roman" w:hAnsi="Times New Roman" w:cs="Times New Roman"/>
          <w:sz w:val="24"/>
          <w:szCs w:val="24"/>
        </w:rPr>
        <w:t>Vidiecky rozvoj by nemal byť zameraný hlavne na poľnohospodárstvo. Vidiecky rozvoj sa nutne odlišuje na</w:t>
      </w:r>
      <w:r w:rsidR="00AD45C4">
        <w:rPr>
          <w:rFonts w:ascii="Times New Roman" w:hAnsi="Times New Roman" w:cs="Times New Roman"/>
          <w:sz w:val="24"/>
          <w:szCs w:val="24"/>
        </w:rPr>
        <w:t>prieč krajinami a regiónmi a</w:t>
      </w:r>
      <w:r w:rsidR="00681708">
        <w:rPr>
          <w:rFonts w:ascii="Times New Roman" w:hAnsi="Times New Roman" w:cs="Times New Roman"/>
          <w:sz w:val="24"/>
          <w:szCs w:val="24"/>
        </w:rPr>
        <w:t xml:space="preserve"> nie je spojený</w:t>
      </w:r>
      <w:r w:rsidR="00736E9D">
        <w:rPr>
          <w:rFonts w:ascii="Times New Roman" w:hAnsi="Times New Roman" w:cs="Times New Roman"/>
          <w:sz w:val="24"/>
          <w:szCs w:val="24"/>
        </w:rPr>
        <w:t xml:space="preserve"> s predchádzajúcimi poľnohospodárskymi podporami, a tak je otázne, že či zmeny v rozpočte sú potrebné pre vidiecky rozvoj všetkých krajín a regiónov (pilier II) a či sú zladené so širokou redukciou v poľnohospodárskych podporách (pilier I).</w:t>
      </w:r>
    </w:p>
    <w:p w:rsidR="00E46070" w:rsidRDefault="00C3618E" w:rsidP="00147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Preto </w:t>
      </w:r>
      <w:r w:rsidR="00E8255A">
        <w:rPr>
          <w:rFonts w:ascii="Times New Roman" w:hAnsi="Times New Roman" w:cs="Times New Roman"/>
          <w:sz w:val="24"/>
          <w:szCs w:val="24"/>
        </w:rPr>
        <w:t xml:space="preserve">majú kritici </w:t>
      </w:r>
      <w:r>
        <w:rPr>
          <w:rFonts w:ascii="Times New Roman" w:hAnsi="Times New Roman" w:cs="Times New Roman"/>
          <w:sz w:val="24"/>
          <w:szCs w:val="24"/>
        </w:rPr>
        <w:t>podozrenie, že druhý pilier je cesta pre tvorcov politiky ako pokračovať v poskytovaní podpory poľnohospodárom, keď už dlhšie nemôžu obhajovať priame platby ako prechodnú kompenzáciu</w:t>
      </w:r>
      <w:r w:rsidR="00681708">
        <w:rPr>
          <w:rFonts w:ascii="Times New Roman" w:hAnsi="Times New Roman" w:cs="Times New Roman"/>
          <w:sz w:val="24"/>
          <w:szCs w:val="24"/>
        </w:rPr>
        <w:t xml:space="preserve"> (na prispôsobenie sa)</w:t>
      </w:r>
      <w:r>
        <w:rPr>
          <w:rFonts w:ascii="Times New Roman" w:hAnsi="Times New Roman" w:cs="Times New Roman"/>
          <w:sz w:val="24"/>
          <w:szCs w:val="24"/>
        </w:rPr>
        <w:t xml:space="preserve"> za cenové zníženie a aj to, že je poskytovaná o dekádu dlhšie. </w:t>
      </w:r>
      <w:r w:rsidR="00687CA8">
        <w:rPr>
          <w:rFonts w:ascii="Times New Roman" w:hAnsi="Times New Roman" w:cs="Times New Roman"/>
          <w:sz w:val="24"/>
          <w:szCs w:val="24"/>
        </w:rPr>
        <w:t>Stavba druhého piliera sa javí ako vhodná pre skryté dotácie do poľnohospodárstva. Opatrenia druhého piliera vyžadujú vyššiu kvalitu vlády a zodpovedných ľudí ako opa</w:t>
      </w:r>
      <w:r w:rsidR="00E43202">
        <w:rPr>
          <w:rFonts w:ascii="Times New Roman" w:hAnsi="Times New Roman" w:cs="Times New Roman"/>
          <w:sz w:val="24"/>
          <w:szCs w:val="24"/>
        </w:rPr>
        <w:t>trenia prvého piliera,</w:t>
      </w:r>
      <w:r w:rsidR="0098415C">
        <w:rPr>
          <w:rFonts w:ascii="Times New Roman" w:hAnsi="Times New Roman" w:cs="Times New Roman"/>
          <w:sz w:val="24"/>
          <w:szCs w:val="24"/>
        </w:rPr>
        <w:t xml:space="preserve"> aj </w:t>
      </w:r>
      <w:r w:rsidR="00687CA8">
        <w:rPr>
          <w:rFonts w:ascii="Times New Roman" w:hAnsi="Times New Roman" w:cs="Times New Roman"/>
          <w:sz w:val="24"/>
          <w:szCs w:val="24"/>
        </w:rPr>
        <w:t>vďaka rozšíreniu, a tým rozdielnosti podmienok sa v priemere znížila schopnosť monitorovať a vynucovať si dodržiavanie op</w:t>
      </w:r>
      <w:r w:rsidR="00E43202">
        <w:rPr>
          <w:rFonts w:ascii="Times New Roman" w:hAnsi="Times New Roman" w:cs="Times New Roman"/>
          <w:sz w:val="24"/>
          <w:szCs w:val="24"/>
        </w:rPr>
        <w:t>atrení druhého piliera.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C52">
        <w:rPr>
          <w:rFonts w:ascii="Times New Roman" w:hAnsi="Times New Roman" w:cs="Times New Roman"/>
          <w:sz w:val="24"/>
          <w:szCs w:val="24"/>
        </w:rPr>
        <w:t xml:space="preserve">Európsky dvor audítorov pravidelne nachádza nezrovnalosti a podvody v opatreniach druhého piliera. </w:t>
      </w:r>
    </w:p>
    <w:p w:rsidR="003E2E37" w:rsidRDefault="00E0365D" w:rsidP="00147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SPP EÚ sa v priebehu času preukazne zmenila. Zmeny boli riadené rozpočtovými záujmami</w:t>
      </w:r>
      <w:r w:rsidR="00BF5C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skôr než ekonomickou racionalitou. </w:t>
      </w:r>
      <w:r w:rsidR="009C6E64">
        <w:rPr>
          <w:rFonts w:ascii="Times New Roman" w:hAnsi="Times New Roman" w:cs="Times New Roman"/>
          <w:sz w:val="24"/>
          <w:szCs w:val="24"/>
        </w:rPr>
        <w:t xml:space="preserve">Do roku 1990 </w:t>
      </w:r>
      <w:r w:rsidR="00BF2BFE">
        <w:rPr>
          <w:rFonts w:ascii="Times New Roman" w:hAnsi="Times New Roman" w:cs="Times New Roman"/>
          <w:sz w:val="24"/>
          <w:szCs w:val="24"/>
        </w:rPr>
        <w:t xml:space="preserve">reformy podnecovali rozpočtové záujmy, ale ich výsledkom </w:t>
      </w:r>
      <w:r w:rsidR="00417726">
        <w:rPr>
          <w:rFonts w:ascii="Times New Roman" w:hAnsi="Times New Roman" w:cs="Times New Roman"/>
          <w:sz w:val="24"/>
          <w:szCs w:val="24"/>
        </w:rPr>
        <w:t xml:space="preserve">bola ešte viac ochranárska a obchod deformujúca politika. Nakoniec pod vplyvom GATT/WTO </w:t>
      </w:r>
      <w:r w:rsidR="004D41D0">
        <w:rPr>
          <w:rFonts w:ascii="Times New Roman" w:hAnsi="Times New Roman" w:cs="Times New Roman"/>
          <w:sz w:val="24"/>
          <w:szCs w:val="24"/>
        </w:rPr>
        <w:t xml:space="preserve">obchodných </w:t>
      </w:r>
      <w:r w:rsidR="00417726">
        <w:rPr>
          <w:rFonts w:ascii="Times New Roman" w:hAnsi="Times New Roman" w:cs="Times New Roman"/>
          <w:sz w:val="24"/>
          <w:szCs w:val="24"/>
        </w:rPr>
        <w:t>negociácií</w:t>
      </w:r>
      <w:r w:rsidR="004D41D0">
        <w:rPr>
          <w:rFonts w:ascii="Times New Roman" w:hAnsi="Times New Roman" w:cs="Times New Roman"/>
          <w:sz w:val="24"/>
          <w:szCs w:val="24"/>
        </w:rPr>
        <w:t xml:space="preserve"> SPP sa vzdala väčšiny ochrany na hraniciach (obchodných prekážok). </w:t>
      </w:r>
      <w:r w:rsidR="007E53C0">
        <w:rPr>
          <w:rFonts w:ascii="Times New Roman" w:hAnsi="Times New Roman" w:cs="Times New Roman"/>
          <w:sz w:val="24"/>
          <w:szCs w:val="24"/>
        </w:rPr>
        <w:t xml:space="preserve">Zmeny v politike EÚ a tiež v politikách iných krajín a zvýšenie cien ropy zrejme viedli k vyšším </w:t>
      </w:r>
      <w:r w:rsidR="004D11B9">
        <w:rPr>
          <w:rFonts w:ascii="Times New Roman" w:hAnsi="Times New Roman" w:cs="Times New Roman"/>
          <w:sz w:val="24"/>
          <w:szCs w:val="24"/>
        </w:rPr>
        <w:t xml:space="preserve">svetovým cenám, a tým sa hlbšie reformy obchodných prekážok oddialili. </w:t>
      </w:r>
      <w:r w:rsidR="00087DCE">
        <w:rPr>
          <w:rFonts w:ascii="Times New Roman" w:hAnsi="Times New Roman" w:cs="Times New Roman"/>
          <w:sz w:val="24"/>
          <w:szCs w:val="24"/>
        </w:rPr>
        <w:t>Postavenie SPP EÚ sa stalo viac dôležitejším pre svetový potravinový systém</w:t>
      </w:r>
      <w:r w:rsidR="00D15EA6">
        <w:rPr>
          <w:rFonts w:ascii="Times New Roman" w:hAnsi="Times New Roman" w:cs="Times New Roman"/>
          <w:sz w:val="24"/>
          <w:szCs w:val="24"/>
        </w:rPr>
        <w:t xml:space="preserve"> v priebehu času v dôsledku rastu zo 6 na 27 členov. Zníženie vonkajšej miery ochrany SPP prispieva k menej deformovanému poľnohospodárstvu. </w:t>
      </w:r>
      <w:r w:rsidR="00681708">
        <w:rPr>
          <w:rFonts w:ascii="Times New Roman" w:hAnsi="Times New Roman" w:cs="Times New Roman"/>
          <w:sz w:val="24"/>
          <w:szCs w:val="24"/>
        </w:rPr>
        <w:t>Stále zostávajú dva problémy</w:t>
      </w:r>
      <w:r w:rsidR="00D15EA6">
        <w:rPr>
          <w:rFonts w:ascii="Times New Roman" w:hAnsi="Times New Roman" w:cs="Times New Roman"/>
          <w:sz w:val="24"/>
          <w:szCs w:val="24"/>
        </w:rPr>
        <w:t>, a to: prvý, pokiaľ európske ceny potravinárskych produktov nie sú úplne prepojené so svetovými trhovými cenami</w:t>
      </w:r>
      <w:r w:rsidR="007652B4">
        <w:rPr>
          <w:rFonts w:ascii="Times New Roman" w:hAnsi="Times New Roman" w:cs="Times New Roman"/>
          <w:sz w:val="24"/>
          <w:szCs w:val="24"/>
        </w:rPr>
        <w:t>, tak sa SPP nechráni</w:t>
      </w:r>
      <w:r w:rsidR="00681708">
        <w:rPr>
          <w:rFonts w:ascii="Times New Roman" w:hAnsi="Times New Roman" w:cs="Times New Roman"/>
          <w:sz w:val="24"/>
          <w:szCs w:val="24"/>
        </w:rPr>
        <w:t xml:space="preserve"> v maximálne možnej miere pred kolísaním</w:t>
      </w:r>
      <w:r w:rsidR="00A40CC8">
        <w:rPr>
          <w:rFonts w:ascii="Times New Roman" w:hAnsi="Times New Roman" w:cs="Times New Roman"/>
          <w:sz w:val="24"/>
          <w:szCs w:val="24"/>
        </w:rPr>
        <w:t xml:space="preserve"> svetových </w:t>
      </w:r>
      <w:r w:rsidR="00A40CC8">
        <w:rPr>
          <w:rFonts w:ascii="Times New Roman" w:hAnsi="Times New Roman" w:cs="Times New Roman"/>
          <w:sz w:val="24"/>
          <w:szCs w:val="24"/>
        </w:rPr>
        <w:lastRenderedPageBreak/>
        <w:t>trhový</w:t>
      </w:r>
      <w:r w:rsidR="00681708">
        <w:rPr>
          <w:rFonts w:ascii="Times New Roman" w:hAnsi="Times New Roman" w:cs="Times New Roman"/>
          <w:sz w:val="24"/>
          <w:szCs w:val="24"/>
        </w:rPr>
        <w:t>ch cien</w:t>
      </w:r>
      <w:r w:rsidR="007652B4">
        <w:rPr>
          <w:rFonts w:ascii="Times New Roman" w:hAnsi="Times New Roman" w:cs="Times New Roman"/>
          <w:sz w:val="24"/>
          <w:szCs w:val="24"/>
        </w:rPr>
        <w:t>. A teda, je potrebné hlbšie zviazanie európskych a svetových</w:t>
      </w:r>
      <w:r w:rsidR="00681708">
        <w:rPr>
          <w:rFonts w:ascii="Times New Roman" w:hAnsi="Times New Roman" w:cs="Times New Roman"/>
          <w:sz w:val="24"/>
          <w:szCs w:val="24"/>
        </w:rPr>
        <w:t xml:space="preserve"> tr</w:t>
      </w:r>
      <w:r w:rsidR="00D479F4">
        <w:rPr>
          <w:rFonts w:ascii="Times New Roman" w:hAnsi="Times New Roman" w:cs="Times New Roman"/>
          <w:sz w:val="24"/>
          <w:szCs w:val="24"/>
        </w:rPr>
        <w:t xml:space="preserve">hových cien. Druhým problémom je druhý </w:t>
      </w:r>
      <w:r w:rsidR="00681708">
        <w:rPr>
          <w:rFonts w:ascii="Times New Roman" w:hAnsi="Times New Roman" w:cs="Times New Roman"/>
          <w:sz w:val="24"/>
          <w:szCs w:val="24"/>
        </w:rPr>
        <w:t>pilier</w:t>
      </w:r>
      <w:r w:rsidR="00D479F4">
        <w:rPr>
          <w:rFonts w:ascii="Times New Roman" w:hAnsi="Times New Roman" w:cs="Times New Roman"/>
          <w:sz w:val="24"/>
          <w:szCs w:val="24"/>
        </w:rPr>
        <w:t xml:space="preserve"> </w:t>
      </w:r>
      <w:r w:rsidR="007652B4">
        <w:rPr>
          <w:rFonts w:ascii="Times New Roman" w:hAnsi="Times New Roman" w:cs="Times New Roman"/>
          <w:sz w:val="24"/>
          <w:szCs w:val="24"/>
        </w:rPr>
        <w:t>SPP</w:t>
      </w:r>
      <w:r w:rsidR="00D479F4">
        <w:rPr>
          <w:rFonts w:ascii="Times New Roman" w:hAnsi="Times New Roman" w:cs="Times New Roman"/>
          <w:sz w:val="24"/>
          <w:szCs w:val="24"/>
        </w:rPr>
        <w:t>, ktorý</w:t>
      </w:r>
      <w:r w:rsidR="007652B4">
        <w:rPr>
          <w:rFonts w:ascii="Times New Roman" w:hAnsi="Times New Roman" w:cs="Times New Roman"/>
          <w:sz w:val="24"/>
          <w:szCs w:val="24"/>
        </w:rPr>
        <w:t xml:space="preserve"> povoľuje skryté poľnohospodárske dotácie</w:t>
      </w:r>
      <w:r w:rsidR="004D11B9">
        <w:rPr>
          <w:rFonts w:ascii="Times New Roman" w:hAnsi="Times New Roman" w:cs="Times New Roman"/>
          <w:sz w:val="24"/>
          <w:szCs w:val="24"/>
        </w:rPr>
        <w:t xml:space="preserve"> </w:t>
      </w:r>
      <w:r w:rsidR="007652B4">
        <w:rPr>
          <w:rFonts w:ascii="Times New Roman" w:hAnsi="Times New Roman" w:cs="Times New Roman"/>
          <w:sz w:val="24"/>
          <w:szCs w:val="24"/>
        </w:rPr>
        <w:t>a zapríčiňuje deformácie naprieč členskými krajinami EÚ a aj celosvetovo. Preto by opatrenia druhého piliera mali byť znovu posúdené a skontrolované z pohľadu ich deformačného účinku.</w:t>
      </w:r>
    </w:p>
    <w:p w:rsidR="008451A0" w:rsidRDefault="00E215A7" w:rsidP="00147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stručne zachytáva reakcie SPP EÚ na hospodárske dianie a následne dôsledky, ktoré priniesli rozhodnutia v rámci politiky. SPP má pred sebou nové programové obdobie, kde bude musieť reagovať na nové výzvy, ako napríklad cenové výkyvy </w:t>
      </w:r>
      <w:r w:rsidR="003351A0">
        <w:rPr>
          <w:rFonts w:ascii="Times New Roman" w:hAnsi="Times New Roman" w:cs="Times New Roman"/>
          <w:sz w:val="24"/>
          <w:szCs w:val="24"/>
        </w:rPr>
        <w:t>a rozpočtové obmedzenie; životné prostredie a administratívna náročnosť; organizácia trhu a WTO; podpora malých fariem a efektívnosť; I. pilier a II. pilier;</w:t>
      </w:r>
      <w:r w:rsidR="00051F37">
        <w:rPr>
          <w:rFonts w:ascii="Times New Roman" w:hAnsi="Times New Roman" w:cs="Times New Roman"/>
          <w:sz w:val="24"/>
          <w:szCs w:val="24"/>
        </w:rPr>
        <w:t xml:space="preserve"> rozdelenie priamych platieb </w:t>
      </w:r>
      <w:r w:rsidR="003351A0">
        <w:rPr>
          <w:rFonts w:ascii="Times New Roman" w:hAnsi="Times New Roman" w:cs="Times New Roman"/>
          <w:sz w:val="24"/>
          <w:szCs w:val="24"/>
        </w:rPr>
        <w:t>a</w:t>
      </w:r>
      <w:r w:rsidR="00EB7197">
        <w:rPr>
          <w:rFonts w:ascii="Times New Roman" w:hAnsi="Times New Roman" w:cs="Times New Roman"/>
          <w:sz w:val="24"/>
          <w:szCs w:val="24"/>
        </w:rPr>
        <w:t> </w:t>
      </w:r>
      <w:r w:rsidR="003351A0">
        <w:rPr>
          <w:rFonts w:ascii="Times New Roman" w:hAnsi="Times New Roman" w:cs="Times New Roman"/>
          <w:sz w:val="24"/>
          <w:szCs w:val="24"/>
        </w:rPr>
        <w:t>konkurencieschopnosť</w:t>
      </w:r>
      <w:r w:rsidR="00EB7197">
        <w:rPr>
          <w:rFonts w:ascii="Times New Roman" w:hAnsi="Times New Roman" w:cs="Times New Roman"/>
          <w:sz w:val="24"/>
          <w:szCs w:val="24"/>
        </w:rPr>
        <w:t>; záujmy starých členských krajín a záujmy nových členských krajín</w:t>
      </w:r>
      <w:r w:rsidR="003351A0">
        <w:rPr>
          <w:rFonts w:ascii="Times New Roman" w:hAnsi="Times New Roman" w:cs="Times New Roman"/>
          <w:sz w:val="24"/>
          <w:szCs w:val="24"/>
        </w:rPr>
        <w:t xml:space="preserve">. </w:t>
      </w:r>
      <w:r w:rsidR="00587DD5">
        <w:rPr>
          <w:rFonts w:ascii="Times New Roman" w:hAnsi="Times New Roman" w:cs="Times New Roman"/>
          <w:sz w:val="24"/>
          <w:szCs w:val="24"/>
        </w:rPr>
        <w:t xml:space="preserve">Už z vyššie napísaného je zrejmé, že členské krajiny </w:t>
      </w:r>
      <w:r w:rsidR="001739AB">
        <w:rPr>
          <w:rFonts w:ascii="Times New Roman" w:hAnsi="Times New Roman" w:cs="Times New Roman"/>
          <w:sz w:val="24"/>
          <w:szCs w:val="24"/>
        </w:rPr>
        <w:t xml:space="preserve">sa </w:t>
      </w:r>
      <w:r w:rsidR="00587DD5">
        <w:rPr>
          <w:rFonts w:ascii="Times New Roman" w:hAnsi="Times New Roman" w:cs="Times New Roman"/>
          <w:sz w:val="24"/>
          <w:szCs w:val="24"/>
        </w:rPr>
        <w:t>len</w:t>
      </w:r>
      <w:r w:rsidR="001739AB">
        <w:rPr>
          <w:rFonts w:ascii="Times New Roman" w:hAnsi="Times New Roman" w:cs="Times New Roman"/>
          <w:sz w:val="24"/>
          <w:szCs w:val="24"/>
        </w:rPr>
        <w:t xml:space="preserve"> ťažk</w:t>
      </w:r>
      <w:r w:rsidR="007A6B2E">
        <w:rPr>
          <w:rFonts w:ascii="Times New Roman" w:hAnsi="Times New Roman" w:cs="Times New Roman"/>
          <w:sz w:val="24"/>
          <w:szCs w:val="24"/>
        </w:rPr>
        <w:t>o vzdávajú svojich pozícií. A už keď</w:t>
      </w:r>
      <w:r w:rsidR="001739AB">
        <w:rPr>
          <w:rFonts w:ascii="Times New Roman" w:hAnsi="Times New Roman" w:cs="Times New Roman"/>
          <w:sz w:val="24"/>
          <w:szCs w:val="24"/>
        </w:rPr>
        <w:t xml:space="preserve"> sa ich vzdajú</w:t>
      </w:r>
      <w:r w:rsidR="007A6B2E">
        <w:rPr>
          <w:rFonts w:ascii="Times New Roman" w:hAnsi="Times New Roman" w:cs="Times New Roman"/>
          <w:sz w:val="24"/>
          <w:szCs w:val="24"/>
        </w:rPr>
        <w:t>, tak</w:t>
      </w:r>
      <w:r w:rsidR="001739AB">
        <w:rPr>
          <w:rFonts w:ascii="Times New Roman" w:hAnsi="Times New Roman" w:cs="Times New Roman"/>
          <w:sz w:val="24"/>
          <w:szCs w:val="24"/>
        </w:rPr>
        <w:t xml:space="preserve"> potrebujú silnejší motivačný prvok, a ten</w:t>
      </w:r>
      <w:r w:rsidR="007A6B2E">
        <w:rPr>
          <w:rFonts w:ascii="Times New Roman" w:hAnsi="Times New Roman" w:cs="Times New Roman"/>
          <w:sz w:val="24"/>
          <w:szCs w:val="24"/>
        </w:rPr>
        <w:t xml:space="preserve"> býva spravidla</w:t>
      </w:r>
      <w:r w:rsidR="001739AB">
        <w:rPr>
          <w:rFonts w:ascii="Times New Roman" w:hAnsi="Times New Roman" w:cs="Times New Roman"/>
          <w:sz w:val="24"/>
          <w:szCs w:val="24"/>
        </w:rPr>
        <w:t xml:space="preserve"> </w:t>
      </w:r>
      <w:r w:rsidR="00587DD5">
        <w:rPr>
          <w:rFonts w:ascii="Times New Roman" w:hAnsi="Times New Roman" w:cs="Times New Roman"/>
          <w:sz w:val="24"/>
          <w:szCs w:val="24"/>
        </w:rPr>
        <w:t>viac</w:t>
      </w:r>
      <w:r w:rsidR="00A603D9">
        <w:rPr>
          <w:rFonts w:ascii="Times New Roman" w:hAnsi="Times New Roman" w:cs="Times New Roman"/>
          <w:sz w:val="24"/>
          <w:szCs w:val="24"/>
        </w:rPr>
        <w:t xml:space="preserve"> politick</w:t>
      </w:r>
      <w:r w:rsidR="001739AB">
        <w:rPr>
          <w:rFonts w:ascii="Times New Roman" w:hAnsi="Times New Roman" w:cs="Times New Roman"/>
          <w:sz w:val="24"/>
          <w:szCs w:val="24"/>
        </w:rPr>
        <w:t xml:space="preserve">ý ako ekonomický. Zdá sa, </w:t>
      </w:r>
      <w:r w:rsidR="00A603D9">
        <w:rPr>
          <w:rFonts w:ascii="Times New Roman" w:hAnsi="Times New Roman" w:cs="Times New Roman"/>
          <w:sz w:val="24"/>
          <w:szCs w:val="24"/>
        </w:rPr>
        <w:t>že podstatné zmeny SPP sa nedajú očakávať, skôr nastane</w:t>
      </w:r>
      <w:r w:rsidR="005F485E">
        <w:rPr>
          <w:rFonts w:ascii="Times New Roman" w:hAnsi="Times New Roman" w:cs="Times New Roman"/>
          <w:sz w:val="24"/>
          <w:szCs w:val="24"/>
        </w:rPr>
        <w:t xml:space="preserve"> určité vyladenie súčasnej SPP k smerom ku klimatickým zmenám</w:t>
      </w:r>
      <w:r w:rsidR="00E7395D">
        <w:rPr>
          <w:rFonts w:ascii="Times New Roman" w:hAnsi="Times New Roman" w:cs="Times New Roman"/>
          <w:sz w:val="24"/>
          <w:szCs w:val="24"/>
        </w:rPr>
        <w:t>, malým farmárom</w:t>
      </w:r>
      <w:r w:rsidR="005F485E">
        <w:rPr>
          <w:rFonts w:ascii="Times New Roman" w:hAnsi="Times New Roman" w:cs="Times New Roman"/>
          <w:sz w:val="24"/>
          <w:szCs w:val="24"/>
        </w:rPr>
        <w:t xml:space="preserve"> a cenovým výkyvom s ešte väčším akcentom na životné prostredie. </w:t>
      </w:r>
      <w:r w:rsidR="000E2BBF">
        <w:rPr>
          <w:rFonts w:ascii="Times New Roman" w:hAnsi="Times New Roman" w:cs="Times New Roman"/>
          <w:sz w:val="24"/>
          <w:szCs w:val="24"/>
        </w:rPr>
        <w:t xml:space="preserve">V tejto situácii je potrebné spomenúť, že ak chce Slovensko profitovať v ďalšom období zo SPP je potrebné sa zamerať na starostlivosť o prírodné zdroje, hlavne pôdu a vodu. </w:t>
      </w:r>
      <w:r w:rsidR="00D729F1">
        <w:rPr>
          <w:rFonts w:ascii="Times New Roman" w:hAnsi="Times New Roman" w:cs="Times New Roman"/>
          <w:sz w:val="24"/>
          <w:szCs w:val="24"/>
        </w:rPr>
        <w:t>V tejto oblasti máme významný historický deficit, ak ho nezačneme riešiť</w:t>
      </w:r>
      <w:r w:rsidR="00183C7A">
        <w:rPr>
          <w:rFonts w:ascii="Times New Roman" w:hAnsi="Times New Roman" w:cs="Times New Roman"/>
          <w:sz w:val="24"/>
          <w:szCs w:val="24"/>
        </w:rPr>
        <w:t>,</w:t>
      </w:r>
      <w:r w:rsidR="00D729F1">
        <w:rPr>
          <w:rFonts w:ascii="Times New Roman" w:hAnsi="Times New Roman" w:cs="Times New Roman"/>
          <w:sz w:val="24"/>
          <w:szCs w:val="24"/>
        </w:rPr>
        <w:t xml:space="preserve"> v budúcnosti </w:t>
      </w:r>
      <w:r w:rsidR="00183C7A">
        <w:rPr>
          <w:rFonts w:ascii="Times New Roman" w:hAnsi="Times New Roman" w:cs="Times New Roman"/>
          <w:sz w:val="24"/>
          <w:szCs w:val="24"/>
        </w:rPr>
        <w:t>sa môžeme</w:t>
      </w:r>
      <w:r w:rsidR="00D729F1">
        <w:rPr>
          <w:rFonts w:ascii="Times New Roman" w:hAnsi="Times New Roman" w:cs="Times New Roman"/>
          <w:sz w:val="24"/>
          <w:szCs w:val="24"/>
        </w:rPr>
        <w:t xml:space="preserve"> pripraviť o </w:t>
      </w:r>
      <w:r w:rsidR="00E565CF">
        <w:rPr>
          <w:rFonts w:ascii="Times New Roman" w:hAnsi="Times New Roman" w:cs="Times New Roman"/>
          <w:sz w:val="24"/>
          <w:szCs w:val="24"/>
        </w:rPr>
        <w:t>určitú</w:t>
      </w:r>
      <w:r w:rsidR="00D729F1">
        <w:rPr>
          <w:rFonts w:ascii="Times New Roman" w:hAnsi="Times New Roman" w:cs="Times New Roman"/>
          <w:sz w:val="24"/>
          <w:szCs w:val="24"/>
        </w:rPr>
        <w:t xml:space="preserve"> časť podpor zo </w:t>
      </w:r>
      <w:r w:rsidR="00183C7A">
        <w:rPr>
          <w:rFonts w:ascii="Times New Roman" w:hAnsi="Times New Roman" w:cs="Times New Roman"/>
          <w:sz w:val="24"/>
          <w:szCs w:val="24"/>
        </w:rPr>
        <w:t>SPP.</w:t>
      </w:r>
      <w:r w:rsidR="00E565CF">
        <w:rPr>
          <w:rFonts w:ascii="Times New Roman" w:hAnsi="Times New Roman" w:cs="Times New Roman"/>
          <w:sz w:val="24"/>
          <w:szCs w:val="24"/>
        </w:rPr>
        <w:t xml:space="preserve"> </w:t>
      </w:r>
      <w:r w:rsidR="009A1513">
        <w:rPr>
          <w:rFonts w:ascii="Times New Roman" w:hAnsi="Times New Roman" w:cs="Times New Roman"/>
          <w:sz w:val="24"/>
          <w:szCs w:val="24"/>
        </w:rPr>
        <w:t>Slovensko je malá vidiecka krajina s pestrý</w:t>
      </w:r>
      <w:r w:rsidR="00FC5290">
        <w:rPr>
          <w:rFonts w:ascii="Times New Roman" w:hAnsi="Times New Roman" w:cs="Times New Roman"/>
          <w:sz w:val="24"/>
          <w:szCs w:val="24"/>
        </w:rPr>
        <w:t>mi prírodnými podmienkami, ktorej agropotravinársky sektor nebol historicky orientovaný proexportne</w:t>
      </w:r>
      <w:r w:rsidR="009A1513">
        <w:rPr>
          <w:rFonts w:ascii="Times New Roman" w:hAnsi="Times New Roman" w:cs="Times New Roman"/>
          <w:sz w:val="24"/>
          <w:szCs w:val="24"/>
        </w:rPr>
        <w:t xml:space="preserve">. </w:t>
      </w:r>
      <w:r w:rsidR="009A2DBF">
        <w:rPr>
          <w:rFonts w:ascii="Times New Roman" w:hAnsi="Times New Roman" w:cs="Times New Roman"/>
          <w:sz w:val="24"/>
          <w:szCs w:val="24"/>
        </w:rPr>
        <w:t>Rapídny nárast podpôr od roku 2004 priniesol Slovensku pokles poľnohospodárskej výroby takmer vo všetkých segmentoch. Je isté, že budúcnosť nemôžeme spájať s ni</w:t>
      </w:r>
      <w:r w:rsidR="00A97028">
        <w:rPr>
          <w:rFonts w:ascii="Times New Roman" w:hAnsi="Times New Roman" w:cs="Times New Roman"/>
          <w:sz w:val="24"/>
          <w:szCs w:val="24"/>
        </w:rPr>
        <w:t xml:space="preserve">č nerobením, </w:t>
      </w:r>
      <w:r w:rsidR="00644D3A">
        <w:rPr>
          <w:rFonts w:ascii="Times New Roman" w:hAnsi="Times New Roman" w:cs="Times New Roman"/>
          <w:sz w:val="24"/>
          <w:szCs w:val="24"/>
        </w:rPr>
        <w:t xml:space="preserve">na </w:t>
      </w:r>
      <w:r w:rsidR="00A97028">
        <w:rPr>
          <w:rFonts w:ascii="Times New Roman" w:hAnsi="Times New Roman" w:cs="Times New Roman"/>
          <w:sz w:val="24"/>
          <w:szCs w:val="24"/>
        </w:rPr>
        <w:t xml:space="preserve">ktoré </w:t>
      </w:r>
      <w:r w:rsidR="00644D3A">
        <w:rPr>
          <w:rFonts w:ascii="Times New Roman" w:hAnsi="Times New Roman" w:cs="Times New Roman"/>
          <w:sz w:val="24"/>
          <w:szCs w:val="24"/>
        </w:rPr>
        <w:t xml:space="preserve">si od roku 2004 zvyklo </w:t>
      </w:r>
      <w:r w:rsidR="004E450D">
        <w:rPr>
          <w:rFonts w:ascii="Times New Roman" w:hAnsi="Times New Roman" w:cs="Times New Roman"/>
          <w:sz w:val="24"/>
          <w:szCs w:val="24"/>
        </w:rPr>
        <w:t xml:space="preserve">množstvo podnikateľov na pôde. Filozofia multifunkčnosti venuje pozornosť </w:t>
      </w:r>
      <w:proofErr w:type="spellStart"/>
      <w:r w:rsidR="004E450D">
        <w:rPr>
          <w:rFonts w:ascii="Times New Roman" w:hAnsi="Times New Roman" w:cs="Times New Roman"/>
          <w:sz w:val="24"/>
          <w:szCs w:val="24"/>
        </w:rPr>
        <w:t>krajinotvorbe</w:t>
      </w:r>
      <w:proofErr w:type="spellEnd"/>
      <w:r w:rsidR="004E450D">
        <w:rPr>
          <w:rFonts w:ascii="Times New Roman" w:hAnsi="Times New Roman" w:cs="Times New Roman"/>
          <w:sz w:val="24"/>
          <w:szCs w:val="24"/>
        </w:rPr>
        <w:t>, podnikateľským</w:t>
      </w:r>
      <w:r w:rsidR="00AB1DD6">
        <w:rPr>
          <w:rFonts w:ascii="Times New Roman" w:hAnsi="Times New Roman" w:cs="Times New Roman"/>
          <w:sz w:val="24"/>
          <w:szCs w:val="24"/>
        </w:rPr>
        <w:t xml:space="preserve"> príležitosti</w:t>
      </w:r>
      <w:r w:rsidR="004E450D">
        <w:rPr>
          <w:rFonts w:ascii="Times New Roman" w:hAnsi="Times New Roman" w:cs="Times New Roman"/>
          <w:sz w:val="24"/>
          <w:szCs w:val="24"/>
        </w:rPr>
        <w:t>am</w:t>
      </w:r>
      <w:r w:rsidR="00AB1DD6">
        <w:rPr>
          <w:rFonts w:ascii="Times New Roman" w:hAnsi="Times New Roman" w:cs="Times New Roman"/>
          <w:sz w:val="24"/>
          <w:szCs w:val="24"/>
        </w:rPr>
        <w:t xml:space="preserve"> mimo sektoru poľnohospodárstva</w:t>
      </w:r>
      <w:r w:rsidR="004E450D">
        <w:rPr>
          <w:rFonts w:ascii="Times New Roman" w:hAnsi="Times New Roman" w:cs="Times New Roman"/>
          <w:sz w:val="24"/>
          <w:szCs w:val="24"/>
        </w:rPr>
        <w:t xml:space="preserve"> (agroturistika, údržba lokálnych ciest,....) a reálnym environmentálnym cieľom</w:t>
      </w:r>
      <w:r w:rsidR="00AB1DD6">
        <w:rPr>
          <w:rFonts w:ascii="Times New Roman" w:hAnsi="Times New Roman" w:cs="Times New Roman"/>
          <w:sz w:val="24"/>
          <w:szCs w:val="24"/>
        </w:rPr>
        <w:t>, ako je napr. znižovanie CO2</w:t>
      </w:r>
      <w:r w:rsidR="004E450D">
        <w:rPr>
          <w:rFonts w:ascii="Times New Roman" w:hAnsi="Times New Roman" w:cs="Times New Roman"/>
          <w:sz w:val="24"/>
          <w:szCs w:val="24"/>
        </w:rPr>
        <w:t xml:space="preserve"> v ovzduší</w:t>
      </w:r>
      <w:r w:rsidR="00C361D4">
        <w:rPr>
          <w:rFonts w:ascii="Times New Roman" w:hAnsi="Times New Roman" w:cs="Times New Roman"/>
          <w:sz w:val="24"/>
          <w:szCs w:val="24"/>
        </w:rPr>
        <w:t xml:space="preserve">. Zvyšovanie cien ropy podnecuje záujem o pestovanie energetických plodín, ktoré sa na nerozmnožiteľnej pôde stávajú konkurenciou poľnohospodárskym plodinám určených na výživu. </w:t>
      </w:r>
      <w:r w:rsidR="00D465AA">
        <w:rPr>
          <w:rFonts w:ascii="Times New Roman" w:hAnsi="Times New Roman" w:cs="Times New Roman"/>
          <w:sz w:val="24"/>
          <w:szCs w:val="24"/>
        </w:rPr>
        <w:t>Problémom</w:t>
      </w:r>
      <w:r w:rsidR="00EE2ED3">
        <w:rPr>
          <w:rFonts w:ascii="Times New Roman" w:hAnsi="Times New Roman" w:cs="Times New Roman"/>
          <w:sz w:val="24"/>
          <w:szCs w:val="24"/>
        </w:rPr>
        <w:t xml:space="preserve"> je </w:t>
      </w:r>
      <w:r w:rsidR="00D465AA">
        <w:rPr>
          <w:rFonts w:ascii="Times New Roman" w:hAnsi="Times New Roman" w:cs="Times New Roman"/>
          <w:sz w:val="24"/>
          <w:szCs w:val="24"/>
        </w:rPr>
        <w:t xml:space="preserve">aj </w:t>
      </w:r>
      <w:r w:rsidR="00EE2ED3">
        <w:rPr>
          <w:rFonts w:ascii="Times New Roman" w:hAnsi="Times New Roman" w:cs="Times New Roman"/>
          <w:sz w:val="24"/>
          <w:szCs w:val="24"/>
        </w:rPr>
        <w:t>väzba cien poľnohospodárskych vstupov na očakávanú cen</w:t>
      </w:r>
      <w:r w:rsidR="00D465AA">
        <w:rPr>
          <w:rFonts w:ascii="Times New Roman" w:hAnsi="Times New Roman" w:cs="Times New Roman"/>
          <w:sz w:val="24"/>
          <w:szCs w:val="24"/>
        </w:rPr>
        <w:t>u produktu, dokonca sa stáva, že sa cenu vstupu nedozviete</w:t>
      </w:r>
      <w:r w:rsidR="00EE2ED3">
        <w:rPr>
          <w:rFonts w:ascii="Times New Roman" w:hAnsi="Times New Roman" w:cs="Times New Roman"/>
          <w:sz w:val="24"/>
          <w:szCs w:val="24"/>
        </w:rPr>
        <w:t>. Ak je cena v trhovom systéme najdôležitejším faktorom pre akékoľvek rozhodovanie</w:t>
      </w:r>
      <w:r w:rsidR="00F20B93">
        <w:rPr>
          <w:rFonts w:ascii="Times New Roman" w:hAnsi="Times New Roman" w:cs="Times New Roman"/>
          <w:sz w:val="24"/>
          <w:szCs w:val="24"/>
        </w:rPr>
        <w:t xml:space="preserve">, </w:t>
      </w:r>
      <w:r w:rsidR="00EE2ED3">
        <w:rPr>
          <w:rFonts w:ascii="Times New Roman" w:hAnsi="Times New Roman" w:cs="Times New Roman"/>
          <w:sz w:val="24"/>
          <w:szCs w:val="24"/>
        </w:rPr>
        <w:t>tak utajovanie cien vybraných vstupov znemožňuje</w:t>
      </w:r>
      <w:r w:rsidR="005438B0">
        <w:rPr>
          <w:rFonts w:ascii="Times New Roman" w:hAnsi="Times New Roman" w:cs="Times New Roman"/>
          <w:sz w:val="24"/>
          <w:szCs w:val="24"/>
        </w:rPr>
        <w:t xml:space="preserve"> poľnohospodárovi nájsť výrobu</w:t>
      </w:r>
      <w:r w:rsidR="00BB254A">
        <w:rPr>
          <w:rFonts w:ascii="Times New Roman" w:hAnsi="Times New Roman" w:cs="Times New Roman"/>
          <w:sz w:val="24"/>
          <w:szCs w:val="24"/>
        </w:rPr>
        <w:t xml:space="preserve">, ktorá maximalizuje jeho ciele (očakávaný rast ceny komodity ešte automaticky neznamená rast tržieb danej komodity). </w:t>
      </w:r>
      <w:r w:rsidR="00635134">
        <w:rPr>
          <w:rFonts w:ascii="Times New Roman" w:hAnsi="Times New Roman" w:cs="Times New Roman"/>
          <w:sz w:val="24"/>
          <w:szCs w:val="24"/>
        </w:rPr>
        <w:t>Na druhej strane je potrebné vytvoriť poľnohospodárovi priestor na kom</w:t>
      </w:r>
      <w:r w:rsidR="00A24515">
        <w:rPr>
          <w:rFonts w:ascii="Times New Roman" w:hAnsi="Times New Roman" w:cs="Times New Roman"/>
          <w:sz w:val="24"/>
          <w:szCs w:val="24"/>
        </w:rPr>
        <w:t>unikáciu so zákazníkom</w:t>
      </w:r>
      <w:r w:rsidR="00C361D4">
        <w:rPr>
          <w:rFonts w:ascii="Times New Roman" w:hAnsi="Times New Roman" w:cs="Times New Roman"/>
          <w:sz w:val="24"/>
          <w:szCs w:val="24"/>
        </w:rPr>
        <w:t xml:space="preserve"> (výstavy, ochutnávky,.....)</w:t>
      </w:r>
      <w:r w:rsidR="00D00091">
        <w:rPr>
          <w:rFonts w:ascii="Times New Roman" w:hAnsi="Times New Roman" w:cs="Times New Roman"/>
          <w:sz w:val="24"/>
          <w:szCs w:val="24"/>
        </w:rPr>
        <w:t>, pretože z</w:t>
      </w:r>
      <w:r w:rsidR="00635134">
        <w:rPr>
          <w:rFonts w:ascii="Times New Roman" w:hAnsi="Times New Roman" w:cs="Times New Roman"/>
          <w:sz w:val="24"/>
          <w:szCs w:val="24"/>
        </w:rPr>
        <w:t>ákaz</w:t>
      </w:r>
      <w:r w:rsidR="00A24515">
        <w:rPr>
          <w:rFonts w:ascii="Times New Roman" w:hAnsi="Times New Roman" w:cs="Times New Roman"/>
          <w:sz w:val="24"/>
          <w:szCs w:val="24"/>
        </w:rPr>
        <w:t>níkovi</w:t>
      </w:r>
      <w:r w:rsidR="00D00091">
        <w:rPr>
          <w:rFonts w:ascii="Times New Roman" w:hAnsi="Times New Roman" w:cs="Times New Roman"/>
          <w:sz w:val="24"/>
          <w:szCs w:val="24"/>
        </w:rPr>
        <w:t xml:space="preserve"> je potrebné</w:t>
      </w:r>
      <w:r w:rsidR="00A24515">
        <w:rPr>
          <w:rFonts w:ascii="Times New Roman" w:hAnsi="Times New Roman" w:cs="Times New Roman"/>
          <w:sz w:val="24"/>
          <w:szCs w:val="24"/>
        </w:rPr>
        <w:t> neustále predstavovať</w:t>
      </w:r>
      <w:r w:rsidR="00635134">
        <w:rPr>
          <w:rFonts w:ascii="Times New Roman" w:hAnsi="Times New Roman" w:cs="Times New Roman"/>
          <w:sz w:val="24"/>
          <w:szCs w:val="24"/>
        </w:rPr>
        <w:t xml:space="preserve"> výhody kvalitného a čerstvého domáceho produktu. </w:t>
      </w:r>
      <w:r w:rsidR="004C2C96">
        <w:rPr>
          <w:rFonts w:ascii="Times New Roman" w:hAnsi="Times New Roman" w:cs="Times New Roman"/>
          <w:sz w:val="24"/>
          <w:szCs w:val="24"/>
        </w:rPr>
        <w:t>V neposlednom r</w:t>
      </w:r>
      <w:r w:rsidR="00EE2ED3">
        <w:rPr>
          <w:rFonts w:ascii="Times New Roman" w:hAnsi="Times New Roman" w:cs="Times New Roman"/>
          <w:sz w:val="24"/>
          <w:szCs w:val="24"/>
        </w:rPr>
        <w:t>ade poľnohospodárstvo potrebuje politickú</w:t>
      </w:r>
      <w:r w:rsidR="004C2C96">
        <w:rPr>
          <w:rFonts w:ascii="Times New Roman" w:hAnsi="Times New Roman" w:cs="Times New Roman"/>
          <w:sz w:val="24"/>
          <w:szCs w:val="24"/>
        </w:rPr>
        <w:t xml:space="preserve"> </w:t>
      </w:r>
      <w:r w:rsidR="00094EF8">
        <w:rPr>
          <w:rFonts w:ascii="Times New Roman" w:hAnsi="Times New Roman" w:cs="Times New Roman"/>
          <w:sz w:val="24"/>
          <w:szCs w:val="24"/>
        </w:rPr>
        <w:t xml:space="preserve">a makroekonomickú </w:t>
      </w:r>
      <w:r w:rsidR="004C2C96">
        <w:rPr>
          <w:rFonts w:ascii="Times New Roman" w:hAnsi="Times New Roman" w:cs="Times New Roman"/>
          <w:sz w:val="24"/>
          <w:szCs w:val="24"/>
        </w:rPr>
        <w:t>stabi</w:t>
      </w:r>
      <w:r w:rsidR="00EE2ED3">
        <w:rPr>
          <w:rFonts w:ascii="Times New Roman" w:hAnsi="Times New Roman" w:cs="Times New Roman"/>
          <w:sz w:val="24"/>
          <w:szCs w:val="24"/>
        </w:rPr>
        <w:t>litu, seriózne poradenstvo,</w:t>
      </w:r>
      <w:r w:rsidR="00094EF8">
        <w:rPr>
          <w:rFonts w:ascii="Times New Roman" w:hAnsi="Times New Roman" w:cs="Times New Roman"/>
          <w:sz w:val="24"/>
          <w:szCs w:val="24"/>
        </w:rPr>
        <w:t xml:space="preserve"> korektné a včasné informácie</w:t>
      </w:r>
      <w:r w:rsidR="004C2C96">
        <w:rPr>
          <w:rFonts w:ascii="Times New Roman" w:hAnsi="Times New Roman" w:cs="Times New Roman"/>
          <w:sz w:val="24"/>
          <w:szCs w:val="24"/>
        </w:rPr>
        <w:t>.</w:t>
      </w:r>
      <w:r w:rsidR="00635134">
        <w:rPr>
          <w:rFonts w:ascii="Times New Roman" w:hAnsi="Times New Roman" w:cs="Times New Roman"/>
          <w:sz w:val="24"/>
          <w:szCs w:val="24"/>
        </w:rPr>
        <w:t xml:space="preserve"> </w:t>
      </w:r>
      <w:r w:rsidR="00AB1DD6">
        <w:rPr>
          <w:rFonts w:ascii="Times New Roman" w:hAnsi="Times New Roman" w:cs="Times New Roman"/>
          <w:sz w:val="24"/>
          <w:szCs w:val="24"/>
        </w:rPr>
        <w:t xml:space="preserve">  </w:t>
      </w:r>
      <w:r w:rsidR="009A2DBF">
        <w:rPr>
          <w:rFonts w:ascii="Times New Roman" w:hAnsi="Times New Roman" w:cs="Times New Roman"/>
          <w:sz w:val="24"/>
          <w:szCs w:val="24"/>
        </w:rPr>
        <w:t xml:space="preserve">   </w:t>
      </w:r>
      <w:r w:rsidR="003351A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7F22" w:rsidRPr="001D7F22" w:rsidRDefault="007652B4" w:rsidP="00147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726">
        <w:rPr>
          <w:rFonts w:ascii="Times New Roman" w:hAnsi="Times New Roman" w:cs="Times New Roman"/>
          <w:sz w:val="24"/>
          <w:szCs w:val="24"/>
        </w:rPr>
        <w:t xml:space="preserve"> </w:t>
      </w:r>
      <w:r w:rsidR="00BC627C">
        <w:rPr>
          <w:rFonts w:ascii="Times New Roman" w:hAnsi="Times New Roman" w:cs="Times New Roman"/>
          <w:sz w:val="24"/>
          <w:szCs w:val="24"/>
        </w:rPr>
        <w:t xml:space="preserve"> </w:t>
      </w:r>
      <w:r w:rsidR="00736E9D">
        <w:rPr>
          <w:rFonts w:ascii="Times New Roman" w:hAnsi="Times New Roman" w:cs="Times New Roman"/>
          <w:sz w:val="24"/>
          <w:szCs w:val="24"/>
        </w:rPr>
        <w:t xml:space="preserve">  </w:t>
      </w:r>
      <w:r w:rsidR="00672726">
        <w:rPr>
          <w:rFonts w:ascii="Times New Roman" w:hAnsi="Times New Roman" w:cs="Times New Roman"/>
          <w:sz w:val="24"/>
          <w:szCs w:val="24"/>
        </w:rPr>
        <w:t xml:space="preserve"> </w:t>
      </w:r>
      <w:r w:rsidR="00B16578">
        <w:rPr>
          <w:rFonts w:ascii="Times New Roman" w:hAnsi="Times New Roman" w:cs="Times New Roman"/>
          <w:sz w:val="24"/>
          <w:szCs w:val="24"/>
        </w:rPr>
        <w:t xml:space="preserve">  </w:t>
      </w:r>
      <w:r w:rsidR="00F2249B">
        <w:rPr>
          <w:rFonts w:ascii="Times New Roman" w:hAnsi="Times New Roman" w:cs="Times New Roman"/>
          <w:sz w:val="24"/>
          <w:szCs w:val="24"/>
        </w:rPr>
        <w:t xml:space="preserve"> </w:t>
      </w:r>
      <w:r w:rsidR="00175F7E">
        <w:rPr>
          <w:rFonts w:ascii="Times New Roman" w:hAnsi="Times New Roman" w:cs="Times New Roman"/>
          <w:sz w:val="24"/>
          <w:szCs w:val="24"/>
        </w:rPr>
        <w:t xml:space="preserve"> </w:t>
      </w:r>
      <w:r w:rsidR="008D4EEC">
        <w:rPr>
          <w:rFonts w:ascii="Times New Roman" w:hAnsi="Times New Roman" w:cs="Times New Roman"/>
          <w:sz w:val="24"/>
          <w:szCs w:val="24"/>
        </w:rPr>
        <w:t xml:space="preserve">  </w:t>
      </w:r>
      <w:r w:rsidR="00022084">
        <w:rPr>
          <w:rFonts w:ascii="Times New Roman" w:hAnsi="Times New Roman" w:cs="Times New Roman"/>
          <w:sz w:val="24"/>
          <w:szCs w:val="24"/>
        </w:rPr>
        <w:t xml:space="preserve"> </w:t>
      </w:r>
      <w:r w:rsidR="001D5D44">
        <w:rPr>
          <w:rFonts w:ascii="Times New Roman" w:hAnsi="Times New Roman" w:cs="Times New Roman"/>
          <w:sz w:val="24"/>
          <w:szCs w:val="24"/>
        </w:rPr>
        <w:t xml:space="preserve"> </w:t>
      </w:r>
      <w:r w:rsidR="0032392F">
        <w:rPr>
          <w:rFonts w:ascii="Times New Roman" w:hAnsi="Times New Roman" w:cs="Times New Roman"/>
          <w:sz w:val="24"/>
          <w:szCs w:val="24"/>
        </w:rPr>
        <w:t xml:space="preserve"> </w:t>
      </w:r>
      <w:r w:rsidR="00484FB1">
        <w:rPr>
          <w:rFonts w:ascii="Times New Roman" w:hAnsi="Times New Roman" w:cs="Times New Roman"/>
          <w:sz w:val="24"/>
          <w:szCs w:val="24"/>
        </w:rPr>
        <w:t xml:space="preserve"> </w:t>
      </w:r>
      <w:r w:rsidR="00E33015">
        <w:rPr>
          <w:rFonts w:ascii="Times New Roman" w:hAnsi="Times New Roman" w:cs="Times New Roman"/>
          <w:sz w:val="24"/>
          <w:szCs w:val="24"/>
        </w:rPr>
        <w:t xml:space="preserve"> </w:t>
      </w:r>
      <w:r w:rsidR="00CE1CB3">
        <w:rPr>
          <w:rFonts w:ascii="Times New Roman" w:hAnsi="Times New Roman" w:cs="Times New Roman"/>
          <w:sz w:val="24"/>
          <w:szCs w:val="24"/>
        </w:rPr>
        <w:t xml:space="preserve"> </w:t>
      </w:r>
      <w:r w:rsidR="00DE670A">
        <w:rPr>
          <w:rFonts w:ascii="Times New Roman" w:hAnsi="Times New Roman" w:cs="Times New Roman"/>
          <w:sz w:val="24"/>
          <w:szCs w:val="24"/>
        </w:rPr>
        <w:t xml:space="preserve"> </w:t>
      </w:r>
      <w:r w:rsidR="008437BF">
        <w:rPr>
          <w:rFonts w:ascii="Times New Roman" w:hAnsi="Times New Roman" w:cs="Times New Roman"/>
          <w:sz w:val="24"/>
          <w:szCs w:val="24"/>
        </w:rPr>
        <w:t xml:space="preserve"> </w:t>
      </w:r>
      <w:r w:rsidR="009136B5">
        <w:rPr>
          <w:rFonts w:ascii="Times New Roman" w:hAnsi="Times New Roman" w:cs="Times New Roman"/>
          <w:sz w:val="24"/>
          <w:szCs w:val="24"/>
        </w:rPr>
        <w:t xml:space="preserve"> </w:t>
      </w:r>
      <w:r w:rsidR="00C75251">
        <w:rPr>
          <w:rFonts w:ascii="Times New Roman" w:hAnsi="Times New Roman" w:cs="Times New Roman"/>
          <w:sz w:val="24"/>
          <w:szCs w:val="24"/>
        </w:rPr>
        <w:t xml:space="preserve"> </w:t>
      </w:r>
      <w:r w:rsidR="00DF2936">
        <w:rPr>
          <w:rFonts w:ascii="Times New Roman" w:hAnsi="Times New Roman" w:cs="Times New Roman"/>
          <w:sz w:val="24"/>
          <w:szCs w:val="24"/>
        </w:rPr>
        <w:t xml:space="preserve"> </w:t>
      </w:r>
      <w:r w:rsidR="00B004E3">
        <w:rPr>
          <w:rFonts w:ascii="Times New Roman" w:hAnsi="Times New Roman" w:cs="Times New Roman"/>
          <w:sz w:val="24"/>
          <w:szCs w:val="24"/>
        </w:rPr>
        <w:t xml:space="preserve"> </w:t>
      </w:r>
      <w:r w:rsidR="00910CED">
        <w:rPr>
          <w:rFonts w:ascii="Times New Roman" w:hAnsi="Times New Roman" w:cs="Times New Roman"/>
          <w:sz w:val="24"/>
          <w:szCs w:val="24"/>
        </w:rPr>
        <w:t xml:space="preserve">  </w:t>
      </w:r>
      <w:r w:rsidR="000527CF">
        <w:rPr>
          <w:rFonts w:ascii="Times New Roman" w:hAnsi="Times New Roman" w:cs="Times New Roman"/>
          <w:sz w:val="24"/>
          <w:szCs w:val="24"/>
        </w:rPr>
        <w:t xml:space="preserve"> </w:t>
      </w:r>
      <w:r w:rsidR="00785B72">
        <w:rPr>
          <w:rFonts w:ascii="Times New Roman" w:hAnsi="Times New Roman" w:cs="Times New Roman"/>
          <w:sz w:val="24"/>
          <w:szCs w:val="24"/>
        </w:rPr>
        <w:t xml:space="preserve"> </w:t>
      </w:r>
      <w:r w:rsidR="00652F59">
        <w:rPr>
          <w:rFonts w:ascii="Times New Roman" w:hAnsi="Times New Roman" w:cs="Times New Roman"/>
          <w:sz w:val="24"/>
          <w:szCs w:val="24"/>
        </w:rPr>
        <w:t xml:space="preserve"> </w:t>
      </w:r>
      <w:r w:rsidR="001C64CE">
        <w:rPr>
          <w:rFonts w:ascii="Times New Roman" w:hAnsi="Times New Roman" w:cs="Times New Roman"/>
          <w:sz w:val="24"/>
          <w:szCs w:val="24"/>
        </w:rPr>
        <w:t xml:space="preserve"> </w:t>
      </w:r>
      <w:r w:rsidR="007D71CF">
        <w:rPr>
          <w:rFonts w:ascii="Times New Roman" w:hAnsi="Times New Roman" w:cs="Times New Roman"/>
          <w:sz w:val="24"/>
          <w:szCs w:val="24"/>
        </w:rPr>
        <w:t xml:space="preserve"> </w:t>
      </w:r>
      <w:r w:rsidR="00F2668E">
        <w:rPr>
          <w:rFonts w:ascii="Times New Roman" w:hAnsi="Times New Roman" w:cs="Times New Roman"/>
          <w:sz w:val="24"/>
          <w:szCs w:val="24"/>
        </w:rPr>
        <w:t xml:space="preserve"> </w:t>
      </w:r>
      <w:r w:rsidR="003D25B8">
        <w:rPr>
          <w:rFonts w:ascii="Times New Roman" w:hAnsi="Times New Roman" w:cs="Times New Roman"/>
          <w:sz w:val="24"/>
          <w:szCs w:val="24"/>
        </w:rPr>
        <w:t xml:space="preserve"> </w:t>
      </w:r>
      <w:r w:rsidR="001F2551">
        <w:rPr>
          <w:rFonts w:ascii="Times New Roman" w:hAnsi="Times New Roman" w:cs="Times New Roman"/>
          <w:sz w:val="24"/>
          <w:szCs w:val="24"/>
        </w:rPr>
        <w:t xml:space="preserve"> </w:t>
      </w:r>
      <w:r w:rsidR="00A545B5">
        <w:rPr>
          <w:rFonts w:ascii="Times New Roman" w:hAnsi="Times New Roman" w:cs="Times New Roman"/>
          <w:sz w:val="24"/>
          <w:szCs w:val="24"/>
        </w:rPr>
        <w:t xml:space="preserve"> </w:t>
      </w:r>
      <w:r w:rsidR="00DE7BC6">
        <w:rPr>
          <w:rFonts w:ascii="Times New Roman" w:hAnsi="Times New Roman" w:cs="Times New Roman"/>
          <w:sz w:val="24"/>
          <w:szCs w:val="24"/>
        </w:rPr>
        <w:t xml:space="preserve"> </w:t>
      </w:r>
      <w:r w:rsidR="00A30B9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7F22" w:rsidRPr="001D7F22" w:rsidSect="00F32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7F22"/>
    <w:rsid w:val="00022084"/>
    <w:rsid w:val="00032B9D"/>
    <w:rsid w:val="00041C5B"/>
    <w:rsid w:val="0004332C"/>
    <w:rsid w:val="00050C12"/>
    <w:rsid w:val="00051F37"/>
    <w:rsid w:val="000527CF"/>
    <w:rsid w:val="00055A31"/>
    <w:rsid w:val="00056FD0"/>
    <w:rsid w:val="00060A90"/>
    <w:rsid w:val="0008309B"/>
    <w:rsid w:val="00087DCE"/>
    <w:rsid w:val="00094EF8"/>
    <w:rsid w:val="000A2ACB"/>
    <w:rsid w:val="000B16B3"/>
    <w:rsid w:val="000B4502"/>
    <w:rsid w:val="000E2BBF"/>
    <w:rsid w:val="000F69C7"/>
    <w:rsid w:val="00100811"/>
    <w:rsid w:val="0011249F"/>
    <w:rsid w:val="001375DF"/>
    <w:rsid w:val="00143CD2"/>
    <w:rsid w:val="00146C0B"/>
    <w:rsid w:val="00147663"/>
    <w:rsid w:val="00153770"/>
    <w:rsid w:val="001739AB"/>
    <w:rsid w:val="00175F7E"/>
    <w:rsid w:val="00183C7A"/>
    <w:rsid w:val="00190790"/>
    <w:rsid w:val="001A317A"/>
    <w:rsid w:val="001B5BED"/>
    <w:rsid w:val="001C4880"/>
    <w:rsid w:val="001C64CE"/>
    <w:rsid w:val="001D2ED4"/>
    <w:rsid w:val="001D4A4B"/>
    <w:rsid w:val="001D5D44"/>
    <w:rsid w:val="001D7F22"/>
    <w:rsid w:val="001E3E62"/>
    <w:rsid w:val="001F2551"/>
    <w:rsid w:val="00224F73"/>
    <w:rsid w:val="00226774"/>
    <w:rsid w:val="00234C29"/>
    <w:rsid w:val="00237625"/>
    <w:rsid w:val="00247077"/>
    <w:rsid w:val="00253179"/>
    <w:rsid w:val="00267D68"/>
    <w:rsid w:val="002760B4"/>
    <w:rsid w:val="00291B42"/>
    <w:rsid w:val="002A4495"/>
    <w:rsid w:val="002B1BBF"/>
    <w:rsid w:val="002D3846"/>
    <w:rsid w:val="002D604F"/>
    <w:rsid w:val="00320B5F"/>
    <w:rsid w:val="0032392F"/>
    <w:rsid w:val="003351A0"/>
    <w:rsid w:val="0035733C"/>
    <w:rsid w:val="00361EB9"/>
    <w:rsid w:val="003641A0"/>
    <w:rsid w:val="003B01E4"/>
    <w:rsid w:val="003B3174"/>
    <w:rsid w:val="003D25B8"/>
    <w:rsid w:val="003E02A4"/>
    <w:rsid w:val="003E2E37"/>
    <w:rsid w:val="003E6463"/>
    <w:rsid w:val="00415C0C"/>
    <w:rsid w:val="00417726"/>
    <w:rsid w:val="00422209"/>
    <w:rsid w:val="00434113"/>
    <w:rsid w:val="0044775F"/>
    <w:rsid w:val="0045542B"/>
    <w:rsid w:val="00455459"/>
    <w:rsid w:val="00470AF9"/>
    <w:rsid w:val="004742FD"/>
    <w:rsid w:val="0048302D"/>
    <w:rsid w:val="004830EF"/>
    <w:rsid w:val="00484FB1"/>
    <w:rsid w:val="00487385"/>
    <w:rsid w:val="004C2C96"/>
    <w:rsid w:val="004D11B9"/>
    <w:rsid w:val="004D41D0"/>
    <w:rsid w:val="004D6273"/>
    <w:rsid w:val="004E450D"/>
    <w:rsid w:val="004E74A0"/>
    <w:rsid w:val="00500E2E"/>
    <w:rsid w:val="005075D8"/>
    <w:rsid w:val="00540CF3"/>
    <w:rsid w:val="005438B0"/>
    <w:rsid w:val="00584187"/>
    <w:rsid w:val="00587DD5"/>
    <w:rsid w:val="005D7D99"/>
    <w:rsid w:val="005F485E"/>
    <w:rsid w:val="00616568"/>
    <w:rsid w:val="00635134"/>
    <w:rsid w:val="00644D3A"/>
    <w:rsid w:val="00652F59"/>
    <w:rsid w:val="00672726"/>
    <w:rsid w:val="00681708"/>
    <w:rsid w:val="006831E3"/>
    <w:rsid w:val="00687CA8"/>
    <w:rsid w:val="006967D1"/>
    <w:rsid w:val="006B33E6"/>
    <w:rsid w:val="006C1F45"/>
    <w:rsid w:val="006E3918"/>
    <w:rsid w:val="006F50AF"/>
    <w:rsid w:val="006F5C1B"/>
    <w:rsid w:val="00707A35"/>
    <w:rsid w:val="00712430"/>
    <w:rsid w:val="007132E2"/>
    <w:rsid w:val="00725D22"/>
    <w:rsid w:val="00731F6A"/>
    <w:rsid w:val="00736E9D"/>
    <w:rsid w:val="00737F4D"/>
    <w:rsid w:val="00742C64"/>
    <w:rsid w:val="00750E13"/>
    <w:rsid w:val="007578E6"/>
    <w:rsid w:val="00762586"/>
    <w:rsid w:val="0076497F"/>
    <w:rsid w:val="007652B4"/>
    <w:rsid w:val="007840A6"/>
    <w:rsid w:val="00785B72"/>
    <w:rsid w:val="007A6B2E"/>
    <w:rsid w:val="007B73C7"/>
    <w:rsid w:val="007D71CF"/>
    <w:rsid w:val="007E53C0"/>
    <w:rsid w:val="007F35DA"/>
    <w:rsid w:val="007F4204"/>
    <w:rsid w:val="00826173"/>
    <w:rsid w:val="0084212B"/>
    <w:rsid w:val="008437BF"/>
    <w:rsid w:val="008451A0"/>
    <w:rsid w:val="00857539"/>
    <w:rsid w:val="0089066D"/>
    <w:rsid w:val="00892544"/>
    <w:rsid w:val="008A3534"/>
    <w:rsid w:val="008D01C2"/>
    <w:rsid w:val="008D4EEC"/>
    <w:rsid w:val="008D775C"/>
    <w:rsid w:val="008E7766"/>
    <w:rsid w:val="00900BB7"/>
    <w:rsid w:val="00910CED"/>
    <w:rsid w:val="009136B5"/>
    <w:rsid w:val="00945792"/>
    <w:rsid w:val="00954818"/>
    <w:rsid w:val="00954EEC"/>
    <w:rsid w:val="009569CF"/>
    <w:rsid w:val="00973B28"/>
    <w:rsid w:val="00980AA3"/>
    <w:rsid w:val="0098415C"/>
    <w:rsid w:val="009853B9"/>
    <w:rsid w:val="00986D83"/>
    <w:rsid w:val="00993EC2"/>
    <w:rsid w:val="009A1513"/>
    <w:rsid w:val="009A2DBF"/>
    <w:rsid w:val="009B4A57"/>
    <w:rsid w:val="009C6E64"/>
    <w:rsid w:val="00A24515"/>
    <w:rsid w:val="00A27FD4"/>
    <w:rsid w:val="00A30B97"/>
    <w:rsid w:val="00A40CC8"/>
    <w:rsid w:val="00A545B5"/>
    <w:rsid w:val="00A56D4E"/>
    <w:rsid w:val="00A603D9"/>
    <w:rsid w:val="00A67F56"/>
    <w:rsid w:val="00A90BB4"/>
    <w:rsid w:val="00A97028"/>
    <w:rsid w:val="00AA6899"/>
    <w:rsid w:val="00AB1DD6"/>
    <w:rsid w:val="00AC1A51"/>
    <w:rsid w:val="00AC4C1F"/>
    <w:rsid w:val="00AD45C4"/>
    <w:rsid w:val="00AF0F81"/>
    <w:rsid w:val="00B004E3"/>
    <w:rsid w:val="00B16578"/>
    <w:rsid w:val="00B16AB6"/>
    <w:rsid w:val="00B16BED"/>
    <w:rsid w:val="00B22864"/>
    <w:rsid w:val="00B268F3"/>
    <w:rsid w:val="00B3705A"/>
    <w:rsid w:val="00B41C53"/>
    <w:rsid w:val="00B97DC6"/>
    <w:rsid w:val="00BA3E51"/>
    <w:rsid w:val="00BB254A"/>
    <w:rsid w:val="00BC627C"/>
    <w:rsid w:val="00BD4529"/>
    <w:rsid w:val="00BE2358"/>
    <w:rsid w:val="00BF2BFE"/>
    <w:rsid w:val="00BF5C52"/>
    <w:rsid w:val="00BF6DB6"/>
    <w:rsid w:val="00C046B9"/>
    <w:rsid w:val="00C05948"/>
    <w:rsid w:val="00C23369"/>
    <w:rsid w:val="00C329FD"/>
    <w:rsid w:val="00C33C96"/>
    <w:rsid w:val="00C3618E"/>
    <w:rsid w:val="00C361D4"/>
    <w:rsid w:val="00C75251"/>
    <w:rsid w:val="00C82B14"/>
    <w:rsid w:val="00CD1A40"/>
    <w:rsid w:val="00CD6B7C"/>
    <w:rsid w:val="00CE1CB3"/>
    <w:rsid w:val="00D00091"/>
    <w:rsid w:val="00D02A62"/>
    <w:rsid w:val="00D06C10"/>
    <w:rsid w:val="00D12B81"/>
    <w:rsid w:val="00D15EA6"/>
    <w:rsid w:val="00D20643"/>
    <w:rsid w:val="00D273DA"/>
    <w:rsid w:val="00D325EF"/>
    <w:rsid w:val="00D465AA"/>
    <w:rsid w:val="00D470AB"/>
    <w:rsid w:val="00D479F4"/>
    <w:rsid w:val="00D50138"/>
    <w:rsid w:val="00D729F1"/>
    <w:rsid w:val="00D74163"/>
    <w:rsid w:val="00D960FD"/>
    <w:rsid w:val="00DD37B1"/>
    <w:rsid w:val="00DE670A"/>
    <w:rsid w:val="00DE7BC6"/>
    <w:rsid w:val="00DF2936"/>
    <w:rsid w:val="00E0365D"/>
    <w:rsid w:val="00E215A7"/>
    <w:rsid w:val="00E33015"/>
    <w:rsid w:val="00E40A58"/>
    <w:rsid w:val="00E43202"/>
    <w:rsid w:val="00E445C1"/>
    <w:rsid w:val="00E46070"/>
    <w:rsid w:val="00E54267"/>
    <w:rsid w:val="00E565CF"/>
    <w:rsid w:val="00E7395D"/>
    <w:rsid w:val="00E8255A"/>
    <w:rsid w:val="00EA3931"/>
    <w:rsid w:val="00EA71D5"/>
    <w:rsid w:val="00EB7197"/>
    <w:rsid w:val="00EE2ED3"/>
    <w:rsid w:val="00F13DED"/>
    <w:rsid w:val="00F20B93"/>
    <w:rsid w:val="00F2249B"/>
    <w:rsid w:val="00F23D07"/>
    <w:rsid w:val="00F242B7"/>
    <w:rsid w:val="00F2668E"/>
    <w:rsid w:val="00F32BA4"/>
    <w:rsid w:val="00F4422A"/>
    <w:rsid w:val="00F460EB"/>
    <w:rsid w:val="00F567D9"/>
    <w:rsid w:val="00F72BC4"/>
    <w:rsid w:val="00F96F51"/>
    <w:rsid w:val="00FC3222"/>
    <w:rsid w:val="00FC5290"/>
    <w:rsid w:val="00FD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48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86915-886E-4D29-8320-9853497D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Pefax audit</dc:creator>
  <cp:lastModifiedBy>oem</cp:lastModifiedBy>
  <cp:revision>94</cp:revision>
  <dcterms:created xsi:type="dcterms:W3CDTF">2011-02-26T19:06:00Z</dcterms:created>
  <dcterms:modified xsi:type="dcterms:W3CDTF">2011-02-28T10:36:00Z</dcterms:modified>
</cp:coreProperties>
</file>